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580C0" w14:textId="35B8B59C" w:rsidR="00D9768F" w:rsidRPr="00BB7887" w:rsidRDefault="00D9768F" w:rsidP="00877A0C">
      <w:pPr>
        <w:jc w:val="center"/>
        <w:rPr>
          <w:rFonts w:cs="Times New Roman"/>
          <w:b/>
          <w:sz w:val="26"/>
          <w:szCs w:val="26"/>
        </w:rPr>
      </w:pPr>
      <w:r w:rsidRPr="00BB7887">
        <w:rPr>
          <w:rFonts w:cs="Times New Roman"/>
          <w:b/>
          <w:sz w:val="26"/>
          <w:szCs w:val="26"/>
        </w:rPr>
        <w:t xml:space="preserve">TỔNG HỢP Ý KIẾN </w:t>
      </w:r>
      <w:r w:rsidR="00B96C80">
        <w:rPr>
          <w:rFonts w:cs="Times New Roman"/>
          <w:b/>
          <w:sz w:val="26"/>
          <w:szCs w:val="26"/>
        </w:rPr>
        <w:t xml:space="preserve">TIẾP THU, GIẢI TRÌNH </w:t>
      </w:r>
    </w:p>
    <w:p w14:paraId="76F380C8" w14:textId="6DB23930" w:rsidR="006B75E5" w:rsidRPr="00BB7887" w:rsidRDefault="000426D5" w:rsidP="000426D5">
      <w:pPr>
        <w:ind w:firstLine="720"/>
        <w:jc w:val="center"/>
        <w:rPr>
          <w:rFonts w:cs="Times New Roman"/>
          <w:b/>
          <w:sz w:val="26"/>
          <w:szCs w:val="26"/>
          <w:lang w:val="pt-BR"/>
        </w:rPr>
      </w:pPr>
      <w:r w:rsidRPr="00BB7887">
        <w:rPr>
          <w:rFonts w:cs="Times New Roman"/>
          <w:b/>
          <w:sz w:val="26"/>
          <w:szCs w:val="26"/>
          <w:lang w:val="pt-BR"/>
        </w:rPr>
        <w:t>(V</w:t>
      </w:r>
      <w:r w:rsidR="006B75E5" w:rsidRPr="00BB7887">
        <w:rPr>
          <w:rFonts w:cs="Times New Roman"/>
          <w:b/>
          <w:sz w:val="26"/>
          <w:szCs w:val="26"/>
          <w:lang w:val="pt-BR"/>
        </w:rPr>
        <w:t xml:space="preserve">ề việc xây dựng Thông tư </w:t>
      </w:r>
      <w:r w:rsidR="00DA5948" w:rsidRPr="00BB7887">
        <w:rPr>
          <w:rFonts w:cs="Times New Roman"/>
          <w:b/>
          <w:sz w:val="26"/>
          <w:szCs w:val="26"/>
          <w:lang w:val="pt-BR"/>
        </w:rPr>
        <w:t xml:space="preserve">ban hành </w:t>
      </w:r>
      <w:r w:rsidR="00DA5948" w:rsidRPr="00BB7887">
        <w:rPr>
          <w:b/>
          <w:sz w:val="26"/>
          <w:szCs w:val="26"/>
        </w:rPr>
        <w:t xml:space="preserve">Danh mục hóa chất không được sử dụng và Danh mục hóa chất nguy hiểm cần công bố thông tin trong chế phẩm diệt côn </w:t>
      </w:r>
      <w:r w:rsidR="00DA5948" w:rsidRPr="00BB7887">
        <w:rPr>
          <w:b/>
          <w:spacing w:val="-8"/>
          <w:sz w:val="26"/>
          <w:szCs w:val="26"/>
        </w:rPr>
        <w:t>trùng, diệt khuẩn dùng trong lĩnh vực gia dụng và y tế</w:t>
      </w:r>
      <w:r w:rsidR="006B75E5" w:rsidRPr="00BB7887">
        <w:rPr>
          <w:rFonts w:cs="Times New Roman"/>
          <w:b/>
          <w:sz w:val="26"/>
          <w:szCs w:val="26"/>
          <w:lang w:val="pt-BR"/>
        </w:rPr>
        <w:t>)</w:t>
      </w:r>
    </w:p>
    <w:p w14:paraId="13B2C17F" w14:textId="22AD92CB" w:rsidR="00DF0A43" w:rsidRDefault="00877A0C" w:rsidP="000426D5">
      <w:pPr>
        <w:ind w:firstLine="720"/>
        <w:jc w:val="both"/>
        <w:rPr>
          <w:sz w:val="26"/>
          <w:szCs w:val="26"/>
          <w:lang w:val="fr-FR"/>
        </w:rPr>
      </w:pPr>
      <w:r w:rsidRPr="00BB7887">
        <w:rPr>
          <w:rFonts w:cs="Times New Roman"/>
          <w:bCs/>
          <w:spacing w:val="2"/>
          <w:sz w:val="26"/>
          <w:szCs w:val="26"/>
        </w:rPr>
        <w:t>Ngày 2</w:t>
      </w:r>
      <w:r w:rsidR="005F77EC">
        <w:rPr>
          <w:rFonts w:cs="Times New Roman"/>
          <w:bCs/>
          <w:spacing w:val="2"/>
          <w:sz w:val="26"/>
          <w:szCs w:val="26"/>
        </w:rPr>
        <w:t>5</w:t>
      </w:r>
      <w:r w:rsidR="00556330" w:rsidRPr="00BB7887">
        <w:rPr>
          <w:rFonts w:cs="Times New Roman"/>
          <w:bCs/>
          <w:spacing w:val="2"/>
          <w:sz w:val="26"/>
          <w:szCs w:val="26"/>
        </w:rPr>
        <w:t xml:space="preserve">/11/2025, </w:t>
      </w:r>
      <w:r w:rsidRPr="00BB7887">
        <w:rPr>
          <w:rFonts w:cs="Times New Roman"/>
          <w:bCs/>
          <w:spacing w:val="2"/>
          <w:sz w:val="26"/>
          <w:szCs w:val="26"/>
        </w:rPr>
        <w:t xml:space="preserve">Cục Phòng bệnh đã có </w:t>
      </w:r>
      <w:r w:rsidR="00556330" w:rsidRPr="00BB7887">
        <w:rPr>
          <w:rFonts w:cs="Times New Roman"/>
          <w:bCs/>
          <w:spacing w:val="2"/>
          <w:sz w:val="26"/>
          <w:szCs w:val="26"/>
        </w:rPr>
        <w:t xml:space="preserve">Công văn số 1715/PB-MTYT gửi Vụ Pháp chế, Văn phòng Bộ và các Cục, Viện liên quan về việc </w:t>
      </w:r>
      <w:r w:rsidR="00556330" w:rsidRPr="00BB7887">
        <w:rPr>
          <w:sz w:val="26"/>
          <w:szCs w:val="26"/>
          <w:lang w:val="fr-FR"/>
        </w:rPr>
        <w:t>xin ý kiến Dự thảo Kế hoạch, Dự thảo Thông tư ban hành danh mục hóa chất và Báo cáo 5 năm thực hiện Thông tư số 11/2020/TT-BYT;</w:t>
      </w:r>
    </w:p>
    <w:p w14:paraId="4A39986E" w14:textId="1EEB31A9" w:rsidR="005F77EC" w:rsidRPr="00BB7887" w:rsidRDefault="005F77EC" w:rsidP="000426D5">
      <w:pPr>
        <w:ind w:firstLine="720"/>
        <w:jc w:val="both"/>
        <w:rPr>
          <w:sz w:val="26"/>
          <w:szCs w:val="26"/>
          <w:lang w:val="fr-FR"/>
        </w:rPr>
      </w:pPr>
      <w:r>
        <w:rPr>
          <w:bCs/>
          <w:spacing w:val="2"/>
          <w:sz w:val="26"/>
          <w:szCs w:val="26"/>
        </w:rPr>
        <w:t>N</w:t>
      </w:r>
      <w:r w:rsidRPr="00C44D2A">
        <w:rPr>
          <w:bCs/>
          <w:spacing w:val="2"/>
          <w:sz w:val="26"/>
          <w:szCs w:val="26"/>
        </w:rPr>
        <w:t>gày 02/12/2025</w:t>
      </w:r>
      <w:r>
        <w:rPr>
          <w:bCs/>
          <w:spacing w:val="2"/>
          <w:sz w:val="26"/>
          <w:szCs w:val="26"/>
        </w:rPr>
        <w:t>, Cục Phòng bệnh đã có</w:t>
      </w:r>
      <w:r w:rsidRPr="00C44D2A">
        <w:rPr>
          <w:bCs/>
          <w:spacing w:val="2"/>
          <w:sz w:val="26"/>
          <w:szCs w:val="26"/>
        </w:rPr>
        <w:t xml:space="preserve"> Công văn số 1496/PB-MTYT gửi Văn phòng Bộ đăng tải Hồ sơ dự thảo Thông tư lên Cổng thông tin điện tử Bộ Y tế</w:t>
      </w:r>
      <w:r>
        <w:rPr>
          <w:bCs/>
          <w:spacing w:val="2"/>
          <w:sz w:val="26"/>
          <w:szCs w:val="26"/>
        </w:rPr>
        <w:t>;</w:t>
      </w:r>
      <w:bookmarkStart w:id="0" w:name="_GoBack"/>
      <w:bookmarkEnd w:id="0"/>
    </w:p>
    <w:p w14:paraId="1F628019" w14:textId="3327D8C2" w:rsidR="00556330" w:rsidRPr="00BB7887" w:rsidRDefault="00556330" w:rsidP="00556330">
      <w:pPr>
        <w:ind w:firstLine="720"/>
        <w:jc w:val="both"/>
        <w:rPr>
          <w:sz w:val="26"/>
          <w:szCs w:val="26"/>
          <w:lang w:val="fr-FR"/>
        </w:rPr>
      </w:pPr>
      <w:r w:rsidRPr="00BB7887">
        <w:rPr>
          <w:rFonts w:cs="Times New Roman"/>
          <w:bCs/>
          <w:spacing w:val="2"/>
          <w:sz w:val="26"/>
          <w:szCs w:val="26"/>
        </w:rPr>
        <w:t xml:space="preserve">Ngày 08/12/2025, Cục Phòng bệnh đã có Công văn số 1808/PB-MTYT ngày 08/12/2025 gửi Sở Y tế 34 tỉnh/thành phố và các </w:t>
      </w:r>
      <w:r w:rsidR="00EF78B6" w:rsidRPr="00BB7887">
        <w:rPr>
          <w:rFonts w:cs="Times New Roman"/>
          <w:bCs/>
          <w:spacing w:val="2"/>
          <w:sz w:val="26"/>
          <w:szCs w:val="26"/>
        </w:rPr>
        <w:t>đ</w:t>
      </w:r>
      <w:r w:rsidRPr="00BB7887">
        <w:rPr>
          <w:rFonts w:cs="Times New Roman"/>
          <w:bCs/>
          <w:spacing w:val="2"/>
          <w:sz w:val="26"/>
          <w:szCs w:val="26"/>
        </w:rPr>
        <w:t>ơn vị đăng ký, sản xuấ</w:t>
      </w:r>
      <w:r w:rsidR="00EF78B6" w:rsidRPr="00BB7887">
        <w:rPr>
          <w:rFonts w:cs="Times New Roman"/>
          <w:bCs/>
          <w:spacing w:val="2"/>
          <w:sz w:val="26"/>
          <w:szCs w:val="26"/>
        </w:rPr>
        <w:t>t, kinh doanh</w:t>
      </w:r>
      <w:r w:rsidRPr="00BB7887">
        <w:rPr>
          <w:rFonts w:cs="Times New Roman"/>
          <w:bCs/>
          <w:spacing w:val="2"/>
          <w:sz w:val="26"/>
          <w:szCs w:val="26"/>
        </w:rPr>
        <w:t xml:space="preserve"> về việc </w:t>
      </w:r>
      <w:r w:rsidRPr="00BB7887">
        <w:rPr>
          <w:sz w:val="26"/>
          <w:szCs w:val="26"/>
          <w:lang w:val="fr-FR"/>
        </w:rPr>
        <w:t xml:space="preserve">xin ý kiến Dự thảo Thông tư ban hành danh mục hóa chất </w:t>
      </w:r>
      <w:r w:rsidR="00EF78B6" w:rsidRPr="00BB7887">
        <w:rPr>
          <w:sz w:val="26"/>
          <w:szCs w:val="26"/>
        </w:rPr>
        <w:t>không được sử dụng và Danh mục hóa chất nguy hiểm cần công bố thông tin</w:t>
      </w:r>
      <w:r w:rsidRPr="00BB7887">
        <w:rPr>
          <w:sz w:val="26"/>
          <w:szCs w:val="26"/>
          <w:lang w:val="fr-FR"/>
        </w:rPr>
        <w:t>;</w:t>
      </w:r>
    </w:p>
    <w:p w14:paraId="672B9490" w14:textId="0A2C26E9" w:rsidR="009F48BB" w:rsidRPr="00BB7887" w:rsidRDefault="00EF78B6" w:rsidP="00AE1B7C">
      <w:pPr>
        <w:ind w:firstLine="720"/>
        <w:jc w:val="both"/>
        <w:rPr>
          <w:sz w:val="26"/>
          <w:szCs w:val="26"/>
          <w:lang w:val="fr-FR"/>
        </w:rPr>
      </w:pPr>
      <w:r w:rsidRPr="00BB7887">
        <w:rPr>
          <w:rFonts w:cs="Times New Roman"/>
          <w:bCs/>
          <w:spacing w:val="2"/>
          <w:sz w:val="26"/>
          <w:szCs w:val="26"/>
        </w:rPr>
        <w:t xml:space="preserve">Ngày 23/12/2025, Bộ Y tế đã có Công văn số 9022/BYT-PB ngày 23/12/2025 gửi các Bộ, cơ quan ngang Bộ, Ủy ban nhân dân các tỉnh, thành phố trực thuộc Trung ương, VCCI và Văn phòng TBT Việt Nam về việc </w:t>
      </w:r>
      <w:r w:rsidRPr="00BB7887">
        <w:rPr>
          <w:sz w:val="26"/>
          <w:szCs w:val="26"/>
          <w:lang w:val="fr-FR"/>
        </w:rPr>
        <w:t xml:space="preserve">lấy ý kiến góp ý Dự thảo Thông tư ban hành danh mục hóa chất </w:t>
      </w:r>
      <w:r w:rsidRPr="00BB7887">
        <w:rPr>
          <w:sz w:val="26"/>
          <w:szCs w:val="26"/>
        </w:rPr>
        <w:t>không được sử dụng và Danh mục hóa chất nguy hiểm cần công bố thông tin trong chế phẩm DCT, DK dùng trong lĩnh vực gia dụng và y tế</w:t>
      </w:r>
      <w:r w:rsidRPr="00BB7887">
        <w:rPr>
          <w:sz w:val="26"/>
          <w:szCs w:val="26"/>
          <w:lang w:val="fr-FR"/>
        </w:rPr>
        <w:t>.</w:t>
      </w:r>
    </w:p>
    <w:p w14:paraId="4C2F70B4" w14:textId="683B6B64" w:rsidR="00BB7887" w:rsidRPr="00BB7887" w:rsidRDefault="00096D2D" w:rsidP="00BB7887">
      <w:pPr>
        <w:ind w:firstLine="720"/>
        <w:jc w:val="both"/>
        <w:rPr>
          <w:rFonts w:cs="Times New Roman"/>
          <w:sz w:val="26"/>
          <w:szCs w:val="26"/>
        </w:rPr>
      </w:pPr>
      <w:r w:rsidRPr="00BB7887">
        <w:rPr>
          <w:sz w:val="26"/>
          <w:szCs w:val="26"/>
          <w:lang w:val="fr-FR"/>
        </w:rPr>
        <w:t xml:space="preserve">Đến </w:t>
      </w:r>
      <w:r w:rsidR="00D779A8">
        <w:rPr>
          <w:sz w:val="26"/>
          <w:szCs w:val="26"/>
          <w:lang w:val="fr-FR"/>
        </w:rPr>
        <w:t>ngày 10</w:t>
      </w:r>
      <w:r w:rsidR="00FD1B7F" w:rsidRPr="00BB7887">
        <w:rPr>
          <w:sz w:val="26"/>
          <w:szCs w:val="26"/>
          <w:lang w:val="fr-FR"/>
        </w:rPr>
        <w:t>/01/2026</w:t>
      </w:r>
      <w:r w:rsidRPr="00BB7887">
        <w:rPr>
          <w:sz w:val="26"/>
          <w:szCs w:val="26"/>
          <w:lang w:val="fr-FR"/>
        </w:rPr>
        <w:t>, Cục đã nhận được ý kiến góp ý của Vụ Pháp chế</w:t>
      </w:r>
      <w:r w:rsidR="002F41BF" w:rsidRPr="00BB7887">
        <w:rPr>
          <w:sz w:val="26"/>
          <w:szCs w:val="26"/>
          <w:lang w:val="fr-FR"/>
        </w:rPr>
        <w:t>;</w:t>
      </w:r>
      <w:r w:rsidRPr="00BB7887">
        <w:rPr>
          <w:sz w:val="26"/>
          <w:szCs w:val="26"/>
          <w:lang w:val="fr-FR"/>
        </w:rPr>
        <w:t xml:space="preserve"> Văn phòng Bộ</w:t>
      </w:r>
      <w:r w:rsidR="002F41BF" w:rsidRPr="00BB7887">
        <w:rPr>
          <w:sz w:val="26"/>
          <w:szCs w:val="26"/>
          <w:lang w:val="fr-FR"/>
        </w:rPr>
        <w:t>;</w:t>
      </w:r>
      <w:r w:rsidR="00FD1B7F" w:rsidRPr="00BB7887">
        <w:rPr>
          <w:sz w:val="26"/>
          <w:szCs w:val="26"/>
          <w:lang w:val="fr-FR"/>
        </w:rPr>
        <w:t xml:space="preserve"> 04</w:t>
      </w:r>
      <w:r w:rsidRPr="00BB7887">
        <w:rPr>
          <w:sz w:val="26"/>
          <w:szCs w:val="26"/>
          <w:lang w:val="fr-FR"/>
        </w:rPr>
        <w:t>/</w:t>
      </w:r>
      <w:r w:rsidR="00FD1B7F" w:rsidRPr="00BB7887">
        <w:rPr>
          <w:sz w:val="26"/>
          <w:szCs w:val="26"/>
          <w:lang w:val="fr-FR"/>
        </w:rPr>
        <w:t>13</w:t>
      </w:r>
      <w:r w:rsidRPr="00BB7887">
        <w:rPr>
          <w:sz w:val="26"/>
          <w:szCs w:val="26"/>
          <w:lang w:val="fr-FR"/>
        </w:rPr>
        <w:t xml:space="preserve"> </w:t>
      </w:r>
      <w:r w:rsidR="00FD1B7F" w:rsidRPr="00BB7887">
        <w:rPr>
          <w:sz w:val="26"/>
          <w:szCs w:val="26"/>
          <w:lang w:val="fr-FR"/>
        </w:rPr>
        <w:t xml:space="preserve">Cục, </w:t>
      </w:r>
      <w:r w:rsidRPr="00BB7887">
        <w:rPr>
          <w:sz w:val="26"/>
          <w:szCs w:val="26"/>
          <w:lang w:val="fr-FR"/>
        </w:rPr>
        <w:t>Việ</w:t>
      </w:r>
      <w:r w:rsidR="002F41BF" w:rsidRPr="00BB7887">
        <w:rPr>
          <w:sz w:val="26"/>
          <w:szCs w:val="26"/>
          <w:lang w:val="fr-FR"/>
        </w:rPr>
        <w:t xml:space="preserve">n; </w:t>
      </w:r>
      <w:r w:rsidR="00094968">
        <w:rPr>
          <w:rFonts w:cs="Times New Roman"/>
          <w:sz w:val="26"/>
          <w:szCs w:val="26"/>
        </w:rPr>
        <w:t>11</w:t>
      </w:r>
      <w:r w:rsidR="002F41BF" w:rsidRPr="00BB7887">
        <w:rPr>
          <w:rFonts w:cs="Times New Roman"/>
          <w:sz w:val="26"/>
          <w:szCs w:val="26"/>
        </w:rPr>
        <w:t xml:space="preserve">/15 Bộ, Cơ quan ngang Bộ; </w:t>
      </w:r>
      <w:r w:rsidR="00094968">
        <w:rPr>
          <w:rFonts w:cs="Times New Roman"/>
          <w:sz w:val="26"/>
          <w:szCs w:val="26"/>
        </w:rPr>
        <w:t>23</w:t>
      </w:r>
      <w:r w:rsidR="00BB7887" w:rsidRPr="00BB7887">
        <w:rPr>
          <w:rFonts w:cs="Times New Roman"/>
          <w:sz w:val="26"/>
          <w:szCs w:val="26"/>
        </w:rPr>
        <w:t>/34 Sở Y tế; Liên đoàn thương mại và Công nghiệp Việt Nam, kết quả tổng hợp như sau:</w:t>
      </w:r>
    </w:p>
    <w:tbl>
      <w:tblPr>
        <w:tblStyle w:val="TableGrid"/>
        <w:tblW w:w="14597" w:type="dxa"/>
        <w:tblLook w:val="04A0" w:firstRow="1" w:lastRow="0" w:firstColumn="1" w:lastColumn="0" w:noHBand="0" w:noVBand="1"/>
      </w:tblPr>
      <w:tblGrid>
        <w:gridCol w:w="708"/>
        <w:gridCol w:w="8643"/>
        <w:gridCol w:w="5246"/>
      </w:tblGrid>
      <w:tr w:rsidR="00BB7887" w:rsidRPr="00BB7887" w14:paraId="21FEF4FF" w14:textId="77777777" w:rsidTr="0048423B">
        <w:tc>
          <w:tcPr>
            <w:tcW w:w="708" w:type="dxa"/>
            <w:vAlign w:val="center"/>
          </w:tcPr>
          <w:p w14:paraId="3B24BD6D" w14:textId="77777777" w:rsidR="001A5E04" w:rsidRPr="00BB7887" w:rsidRDefault="001A5E04" w:rsidP="009F48BB">
            <w:pPr>
              <w:spacing w:before="60" w:after="60" w:line="276" w:lineRule="auto"/>
              <w:rPr>
                <w:rFonts w:cs="Times New Roman"/>
                <w:b/>
                <w:sz w:val="26"/>
                <w:szCs w:val="26"/>
              </w:rPr>
            </w:pPr>
            <w:r w:rsidRPr="00BB7887">
              <w:rPr>
                <w:rFonts w:cs="Times New Roman"/>
                <w:b/>
                <w:sz w:val="26"/>
                <w:szCs w:val="26"/>
              </w:rPr>
              <w:t>STT</w:t>
            </w:r>
          </w:p>
        </w:tc>
        <w:tc>
          <w:tcPr>
            <w:tcW w:w="8643" w:type="dxa"/>
            <w:vAlign w:val="center"/>
          </w:tcPr>
          <w:p w14:paraId="0B83CD5A" w14:textId="77777777" w:rsidR="001A5E04" w:rsidRPr="00BB7887" w:rsidRDefault="001A5E04" w:rsidP="00462017">
            <w:pPr>
              <w:tabs>
                <w:tab w:val="left" w:pos="1338"/>
              </w:tabs>
              <w:spacing w:before="60" w:after="60" w:line="276" w:lineRule="auto"/>
              <w:jc w:val="center"/>
              <w:rPr>
                <w:rFonts w:cs="Times New Roman"/>
                <w:b/>
                <w:sz w:val="26"/>
                <w:szCs w:val="26"/>
              </w:rPr>
            </w:pPr>
            <w:r w:rsidRPr="00BB7887">
              <w:rPr>
                <w:rFonts w:cs="Times New Roman"/>
                <w:b/>
                <w:sz w:val="26"/>
                <w:szCs w:val="26"/>
              </w:rPr>
              <w:t>Ý kiến</w:t>
            </w:r>
          </w:p>
        </w:tc>
        <w:tc>
          <w:tcPr>
            <w:tcW w:w="5246" w:type="dxa"/>
            <w:vAlign w:val="center"/>
          </w:tcPr>
          <w:p w14:paraId="5A69A580" w14:textId="77777777" w:rsidR="001A5E04" w:rsidRPr="00BB7887" w:rsidRDefault="001A5E04" w:rsidP="00462017">
            <w:pPr>
              <w:spacing w:before="60" w:after="60" w:line="276" w:lineRule="auto"/>
              <w:jc w:val="center"/>
              <w:rPr>
                <w:rFonts w:cs="Times New Roman"/>
                <w:b/>
                <w:sz w:val="26"/>
                <w:szCs w:val="26"/>
              </w:rPr>
            </w:pPr>
            <w:r w:rsidRPr="00BB7887">
              <w:rPr>
                <w:rFonts w:cs="Times New Roman"/>
                <w:b/>
                <w:sz w:val="26"/>
                <w:szCs w:val="26"/>
              </w:rPr>
              <w:t>Tiếp thu và giải trình</w:t>
            </w:r>
          </w:p>
        </w:tc>
      </w:tr>
      <w:tr w:rsidR="00BB7887" w:rsidRPr="00BB7887" w14:paraId="1285A543" w14:textId="77777777" w:rsidTr="0048423B">
        <w:trPr>
          <w:tblHeader/>
        </w:trPr>
        <w:tc>
          <w:tcPr>
            <w:tcW w:w="708" w:type="dxa"/>
            <w:vAlign w:val="center"/>
          </w:tcPr>
          <w:p w14:paraId="139B0056" w14:textId="2C21C718" w:rsidR="00EF78B6" w:rsidRPr="00BB7887" w:rsidRDefault="00EF78B6" w:rsidP="00BF7B4D">
            <w:pPr>
              <w:spacing w:before="60" w:after="60" w:line="276" w:lineRule="auto"/>
              <w:jc w:val="center"/>
              <w:rPr>
                <w:rFonts w:cs="Times New Roman"/>
                <w:b/>
                <w:sz w:val="26"/>
                <w:szCs w:val="26"/>
              </w:rPr>
            </w:pPr>
            <w:r w:rsidRPr="00BB7887">
              <w:rPr>
                <w:rFonts w:cs="Times New Roman"/>
                <w:b/>
                <w:sz w:val="26"/>
                <w:szCs w:val="26"/>
              </w:rPr>
              <w:t>I</w:t>
            </w:r>
          </w:p>
        </w:tc>
        <w:tc>
          <w:tcPr>
            <w:tcW w:w="13889" w:type="dxa"/>
            <w:gridSpan w:val="2"/>
            <w:vAlign w:val="center"/>
          </w:tcPr>
          <w:p w14:paraId="1231909D" w14:textId="1B1A120D" w:rsidR="00EF78B6" w:rsidRPr="00BB7887" w:rsidRDefault="00EF78B6" w:rsidP="009F48BB">
            <w:pPr>
              <w:spacing w:before="60" w:after="60" w:line="276" w:lineRule="auto"/>
              <w:rPr>
                <w:rFonts w:cs="Times New Roman"/>
                <w:b/>
                <w:sz w:val="26"/>
                <w:szCs w:val="26"/>
              </w:rPr>
            </w:pPr>
            <w:r w:rsidRPr="00BB7887">
              <w:rPr>
                <w:rFonts w:cs="Times New Roman"/>
                <w:b/>
                <w:sz w:val="26"/>
                <w:szCs w:val="26"/>
              </w:rPr>
              <w:t>VỤ, CỤC, VIỆN</w:t>
            </w:r>
          </w:p>
        </w:tc>
      </w:tr>
      <w:tr w:rsidR="00BB7887" w:rsidRPr="00BB7887" w14:paraId="0A5EE68B" w14:textId="77777777" w:rsidTr="0048423B">
        <w:tc>
          <w:tcPr>
            <w:tcW w:w="708" w:type="dxa"/>
            <w:vAlign w:val="center"/>
          </w:tcPr>
          <w:p w14:paraId="4D0997C7" w14:textId="77777777" w:rsidR="001A5E04" w:rsidRPr="00BB7887" w:rsidRDefault="001A5E04" w:rsidP="00BF7B4D">
            <w:pPr>
              <w:spacing w:before="60" w:after="60" w:line="276" w:lineRule="auto"/>
              <w:jc w:val="center"/>
              <w:rPr>
                <w:rFonts w:cs="Times New Roman"/>
                <w:b/>
                <w:sz w:val="26"/>
                <w:szCs w:val="26"/>
              </w:rPr>
            </w:pPr>
            <w:r w:rsidRPr="00BB7887">
              <w:rPr>
                <w:rFonts w:cs="Times New Roman"/>
                <w:b/>
                <w:sz w:val="26"/>
                <w:szCs w:val="26"/>
              </w:rPr>
              <w:t>1</w:t>
            </w:r>
          </w:p>
        </w:tc>
        <w:tc>
          <w:tcPr>
            <w:tcW w:w="13889" w:type="dxa"/>
            <w:gridSpan w:val="2"/>
            <w:vAlign w:val="center"/>
          </w:tcPr>
          <w:p w14:paraId="04108F87" w14:textId="32A1F81E" w:rsidR="001A5E04" w:rsidRPr="00BB7887" w:rsidRDefault="00EF78B6" w:rsidP="009F48BB">
            <w:pPr>
              <w:spacing w:before="60" w:after="60" w:line="276" w:lineRule="auto"/>
              <w:rPr>
                <w:rFonts w:cs="Times New Roman"/>
                <w:b/>
                <w:sz w:val="26"/>
                <w:szCs w:val="26"/>
              </w:rPr>
            </w:pPr>
            <w:r w:rsidRPr="00BB7887">
              <w:rPr>
                <w:rFonts w:cs="Times New Roman"/>
                <w:b/>
                <w:sz w:val="26"/>
                <w:szCs w:val="26"/>
              </w:rPr>
              <w:t>Vụ Pháp chế</w:t>
            </w:r>
          </w:p>
        </w:tc>
      </w:tr>
      <w:tr w:rsidR="00BB7887" w:rsidRPr="00BB7887" w14:paraId="6BBF4D00" w14:textId="77777777" w:rsidTr="0048423B">
        <w:tc>
          <w:tcPr>
            <w:tcW w:w="708" w:type="dxa"/>
            <w:vAlign w:val="center"/>
          </w:tcPr>
          <w:p w14:paraId="75BF1452" w14:textId="23A1B16F" w:rsidR="00003119" w:rsidRPr="00BB7887" w:rsidRDefault="00003119" w:rsidP="009F48BB">
            <w:pPr>
              <w:spacing w:before="60" w:after="60" w:line="276" w:lineRule="auto"/>
              <w:rPr>
                <w:rFonts w:cs="Times New Roman"/>
                <w:b/>
                <w:sz w:val="26"/>
                <w:szCs w:val="26"/>
              </w:rPr>
            </w:pPr>
          </w:p>
        </w:tc>
        <w:tc>
          <w:tcPr>
            <w:tcW w:w="8643" w:type="dxa"/>
            <w:vAlign w:val="center"/>
          </w:tcPr>
          <w:p w14:paraId="3E7B85F9" w14:textId="090DDE19" w:rsidR="00003119" w:rsidRPr="00BB7887" w:rsidRDefault="00003119" w:rsidP="00390A45">
            <w:pPr>
              <w:jc w:val="both"/>
              <w:rPr>
                <w:rFonts w:cs="Times New Roman"/>
                <w:sz w:val="26"/>
                <w:szCs w:val="26"/>
              </w:rPr>
            </w:pPr>
            <w:r w:rsidRPr="00BB7887">
              <w:rPr>
                <w:rFonts w:cs="Times New Roman"/>
                <w:sz w:val="26"/>
                <w:szCs w:val="26"/>
              </w:rPr>
              <w:t xml:space="preserve">Về căn cứ ban hành: Đề nghị cân nhắc chỉnh lý như sau: "Căn cứ Luật hóa chất số 69/2025/QH15; Căn cứ Nghị định số 42/2025/NĐ-CP ngày 27 tháng 02 năm 2025 của Chính phủ quy định chức năng, nhiệm vụ, quyền hạn và cơ cấu tổ chức của Bộ Y tế" </w:t>
            </w:r>
          </w:p>
        </w:tc>
        <w:tc>
          <w:tcPr>
            <w:tcW w:w="5246" w:type="dxa"/>
          </w:tcPr>
          <w:p w14:paraId="23CF88C9" w14:textId="228E1F94" w:rsidR="00783CF4" w:rsidRPr="00BB7887" w:rsidRDefault="000D6324" w:rsidP="00390A45">
            <w:pPr>
              <w:pStyle w:val="ListParagraph"/>
              <w:tabs>
                <w:tab w:val="left" w:pos="339"/>
              </w:tabs>
              <w:spacing w:before="60" w:after="60"/>
              <w:ind w:left="0"/>
              <w:jc w:val="both"/>
              <w:rPr>
                <w:rFonts w:cs="Times New Roman"/>
                <w:sz w:val="26"/>
                <w:szCs w:val="26"/>
              </w:rPr>
            </w:pPr>
            <w:r w:rsidRPr="00BB7887">
              <w:rPr>
                <w:rFonts w:cs="Times New Roman"/>
                <w:sz w:val="26"/>
                <w:szCs w:val="26"/>
              </w:rPr>
              <w:t>Đã</w:t>
            </w:r>
            <w:r w:rsidR="00AC0589" w:rsidRPr="00BB7887">
              <w:rPr>
                <w:rFonts w:cs="Times New Roman"/>
                <w:sz w:val="26"/>
                <w:szCs w:val="26"/>
              </w:rPr>
              <w:t xml:space="preserve"> </w:t>
            </w:r>
            <w:r w:rsidRPr="00BB7887">
              <w:rPr>
                <w:rFonts w:cs="Times New Roman"/>
                <w:sz w:val="26"/>
                <w:szCs w:val="26"/>
              </w:rPr>
              <w:t>tiếp thu và bổ sung căn cứ theo ý kiến của Vụ</w:t>
            </w:r>
            <w:r w:rsidR="00C60854" w:rsidRPr="00BB7887">
              <w:rPr>
                <w:rFonts w:cs="Times New Roman"/>
                <w:sz w:val="26"/>
                <w:szCs w:val="26"/>
              </w:rPr>
              <w:t xml:space="preserve"> Pháp chế</w:t>
            </w:r>
            <w:r w:rsidR="00783CF4" w:rsidRPr="00BB7887">
              <w:rPr>
                <w:rFonts w:cs="Times New Roman"/>
                <w:sz w:val="26"/>
                <w:szCs w:val="26"/>
              </w:rPr>
              <w:t xml:space="preserve"> </w:t>
            </w:r>
          </w:p>
        </w:tc>
      </w:tr>
      <w:tr w:rsidR="00BB7887" w:rsidRPr="00BB7887" w14:paraId="33374C59" w14:textId="77777777" w:rsidTr="0048423B">
        <w:tc>
          <w:tcPr>
            <w:tcW w:w="708" w:type="dxa"/>
            <w:vAlign w:val="center"/>
          </w:tcPr>
          <w:p w14:paraId="7996BC44" w14:textId="77777777" w:rsidR="00390A45" w:rsidRPr="00BB7887" w:rsidRDefault="00390A45" w:rsidP="009F48BB">
            <w:pPr>
              <w:spacing w:before="60" w:after="60" w:line="276" w:lineRule="auto"/>
              <w:rPr>
                <w:rFonts w:cs="Times New Roman"/>
                <w:b/>
                <w:sz w:val="26"/>
                <w:szCs w:val="26"/>
              </w:rPr>
            </w:pPr>
          </w:p>
        </w:tc>
        <w:tc>
          <w:tcPr>
            <w:tcW w:w="8643" w:type="dxa"/>
            <w:vAlign w:val="center"/>
          </w:tcPr>
          <w:p w14:paraId="26C164B5" w14:textId="569021A1" w:rsidR="00390A45" w:rsidRPr="00BB7887" w:rsidRDefault="00390A45" w:rsidP="009F48BB">
            <w:pPr>
              <w:jc w:val="both"/>
              <w:rPr>
                <w:rFonts w:cs="Times New Roman"/>
                <w:sz w:val="26"/>
                <w:szCs w:val="26"/>
              </w:rPr>
            </w:pPr>
            <w:r w:rsidRPr="00BB7887">
              <w:rPr>
                <w:rFonts w:cs="Times New Roman"/>
                <w:sz w:val="26"/>
                <w:szCs w:val="26"/>
              </w:rPr>
              <w:t>Theo phân công của Bộ trưởng thì Cục làm đầu mối xây dựng Thông tư ban hành của Bộ trưởng quy định chi tiết và hướng dẫn thi hành một số điều của Luật Hoá chất. Trong trường hợp các đơn vị có nội dung liên quan theo chức năng, nhiệm vụ được giao không có đề xuất nội dung sửa đổi, bổ sung thì Cục Phòng bệnh báo cáo Bộ trưởng về phạm vi điều chỉnh của Thông tư theo hướng chỉ quy định về lĩnh vực hóa chất thuộc chức năng, nhiệm vụ của Cục Phòng bệnh.</w:t>
            </w:r>
          </w:p>
        </w:tc>
        <w:tc>
          <w:tcPr>
            <w:tcW w:w="5246" w:type="dxa"/>
            <w:vAlign w:val="center"/>
          </w:tcPr>
          <w:p w14:paraId="2CF741CD" w14:textId="77777777" w:rsidR="00C60854" w:rsidRPr="00BB7887" w:rsidRDefault="00390A45" w:rsidP="000D6324">
            <w:pPr>
              <w:pStyle w:val="ListParagraph"/>
              <w:tabs>
                <w:tab w:val="left" w:pos="339"/>
              </w:tabs>
              <w:spacing w:before="60" w:after="60"/>
              <w:ind w:left="0"/>
              <w:jc w:val="both"/>
              <w:rPr>
                <w:rFonts w:cs="Times New Roman"/>
                <w:sz w:val="26"/>
                <w:szCs w:val="26"/>
              </w:rPr>
            </w:pPr>
            <w:r w:rsidRPr="00BB7887">
              <w:rPr>
                <w:rFonts w:cs="Times New Roman"/>
                <w:sz w:val="26"/>
                <w:szCs w:val="26"/>
              </w:rPr>
              <w:t xml:space="preserve">Ngày 28/11/2025, Đảng ủy Cục Phòng bệnh đã có Tờ trình số 27-TTr/ĐU xin ý kiến Ban Thường vụ Đảng ủy Bộ Y tế về phạm vi điều chỉnh của dự thảo Thông tư: quy định chi tiết và hướng dẫn thi hành một số điều của Luật Hóa chất (khoản 4 Điều 15, khoản 2 Điều 31) về quản lý hóa chất, chế phẩm diệt côn trùng, diệt khuẩn dùng trong lĩnh vực gia dụng và y tế. </w:t>
            </w:r>
          </w:p>
          <w:p w14:paraId="64412BB9" w14:textId="4BCF5D6C" w:rsidR="00390A45" w:rsidRPr="00BB7887" w:rsidRDefault="00390A45" w:rsidP="0078686F">
            <w:pPr>
              <w:pStyle w:val="ListParagraph"/>
              <w:tabs>
                <w:tab w:val="left" w:pos="339"/>
              </w:tabs>
              <w:spacing w:before="60" w:after="60"/>
              <w:ind w:left="0"/>
              <w:jc w:val="both"/>
              <w:rPr>
                <w:rFonts w:cs="Times New Roman"/>
                <w:sz w:val="26"/>
                <w:szCs w:val="26"/>
              </w:rPr>
            </w:pPr>
            <w:r w:rsidRPr="00BB7887">
              <w:rPr>
                <w:rFonts w:cs="Times New Roman"/>
                <w:sz w:val="26"/>
                <w:szCs w:val="26"/>
              </w:rPr>
              <w:t>Ngày 05/12/2025, Đảng Ủy Bộ Y tế đã có văn bản số 246-CV/ĐU</w:t>
            </w:r>
            <w:r w:rsidR="00C60854" w:rsidRPr="00BB7887">
              <w:rPr>
                <w:rFonts w:cs="Times New Roman"/>
                <w:sz w:val="26"/>
                <w:szCs w:val="26"/>
              </w:rPr>
              <w:t xml:space="preserve"> gửi các ý kiến của</w:t>
            </w:r>
            <w:r w:rsidR="0078686F" w:rsidRPr="00BB7887">
              <w:rPr>
                <w:rFonts w:cs="Times New Roman"/>
                <w:sz w:val="26"/>
                <w:szCs w:val="26"/>
              </w:rPr>
              <w:t xml:space="preserve"> các đồng chí Ủy viên Ban Thường vụ Đảng ủy Bộ Y tế, trong đó có</w:t>
            </w:r>
            <w:r w:rsidRPr="00BB7887">
              <w:rPr>
                <w:rFonts w:cs="Times New Roman"/>
                <w:sz w:val="26"/>
                <w:szCs w:val="26"/>
              </w:rPr>
              <w:t xml:space="preserve"> </w:t>
            </w:r>
            <w:r w:rsidR="0078686F" w:rsidRPr="00BB7887">
              <w:rPr>
                <w:rFonts w:cs="Times New Roman"/>
                <w:sz w:val="26"/>
                <w:szCs w:val="26"/>
              </w:rPr>
              <w:t xml:space="preserve">08/10 đồng chí </w:t>
            </w:r>
            <w:r w:rsidRPr="00BB7887">
              <w:rPr>
                <w:rFonts w:cs="Times New Roman"/>
                <w:sz w:val="26"/>
                <w:szCs w:val="26"/>
              </w:rPr>
              <w:t>nhất trí</w:t>
            </w:r>
            <w:r w:rsidR="0078686F" w:rsidRPr="00BB7887">
              <w:rPr>
                <w:rFonts w:cs="Times New Roman"/>
                <w:sz w:val="26"/>
                <w:szCs w:val="26"/>
              </w:rPr>
              <w:t xml:space="preserve"> hoàn toàn; 02/10 đồng chí có ý kiến chỉ đạo nhưng không liên quan đến phạm vi điều chỉnh của Thông tư</w:t>
            </w:r>
            <w:r w:rsidRPr="00BB7887">
              <w:rPr>
                <w:rFonts w:cs="Times New Roman"/>
                <w:sz w:val="26"/>
                <w:szCs w:val="26"/>
              </w:rPr>
              <w:t>.</w:t>
            </w:r>
          </w:p>
        </w:tc>
      </w:tr>
      <w:tr w:rsidR="00BB7887" w:rsidRPr="00BB7887" w14:paraId="77D2460F" w14:textId="77777777" w:rsidTr="0048423B">
        <w:tc>
          <w:tcPr>
            <w:tcW w:w="708" w:type="dxa"/>
            <w:vAlign w:val="center"/>
          </w:tcPr>
          <w:p w14:paraId="0184B4F4" w14:textId="77777777" w:rsidR="00390A45" w:rsidRPr="00BB7887" w:rsidRDefault="00390A45" w:rsidP="009F48BB">
            <w:pPr>
              <w:spacing w:before="60" w:after="60" w:line="276" w:lineRule="auto"/>
              <w:rPr>
                <w:rFonts w:cs="Times New Roman"/>
                <w:b/>
                <w:sz w:val="26"/>
                <w:szCs w:val="26"/>
              </w:rPr>
            </w:pPr>
          </w:p>
        </w:tc>
        <w:tc>
          <w:tcPr>
            <w:tcW w:w="8643" w:type="dxa"/>
            <w:vAlign w:val="center"/>
          </w:tcPr>
          <w:p w14:paraId="5B1EA126" w14:textId="79C11435" w:rsidR="00390A45" w:rsidRPr="00BB7887" w:rsidRDefault="00390A45" w:rsidP="009F48BB">
            <w:pPr>
              <w:jc w:val="both"/>
              <w:rPr>
                <w:rFonts w:cs="Times New Roman"/>
                <w:sz w:val="26"/>
                <w:szCs w:val="26"/>
              </w:rPr>
            </w:pPr>
            <w:r w:rsidRPr="00BB7887">
              <w:rPr>
                <w:rFonts w:cs="Times New Roman"/>
                <w:sz w:val="26"/>
                <w:szCs w:val="26"/>
              </w:rPr>
              <w:t>Đề nghị bỏ quy định về đối tượng áp dụng, vì theo quy định của pháp luật hiện hành thì không bắt buộc phải quy định về đối tượng áp dụng mà thực hiện theo nguyên tắc chủ thể khi tham gia quan hệ xã hội thuộc lĩnh vực nào thì phải chịu sự điều chỉnh của pháp luật về vấn đề đó.</w:t>
            </w:r>
          </w:p>
        </w:tc>
        <w:tc>
          <w:tcPr>
            <w:tcW w:w="5246" w:type="dxa"/>
          </w:tcPr>
          <w:p w14:paraId="41190499" w14:textId="0E7B14C5" w:rsidR="00390A45" w:rsidRPr="00BB7887" w:rsidRDefault="00390A45" w:rsidP="0078686F">
            <w:pPr>
              <w:pStyle w:val="ListParagraph"/>
              <w:tabs>
                <w:tab w:val="left" w:pos="339"/>
              </w:tabs>
              <w:spacing w:before="60" w:after="60"/>
              <w:ind w:left="0"/>
              <w:jc w:val="both"/>
              <w:rPr>
                <w:rFonts w:cs="Times New Roman"/>
                <w:sz w:val="26"/>
                <w:szCs w:val="26"/>
              </w:rPr>
            </w:pPr>
            <w:r w:rsidRPr="00BB7887">
              <w:rPr>
                <w:rFonts w:cs="Times New Roman"/>
                <w:sz w:val="26"/>
                <w:szCs w:val="26"/>
              </w:rPr>
              <w:t>Đã</w:t>
            </w:r>
            <w:r w:rsidR="00191BE5" w:rsidRPr="00BB7887">
              <w:rPr>
                <w:rFonts w:cs="Times New Roman"/>
                <w:sz w:val="26"/>
                <w:szCs w:val="26"/>
              </w:rPr>
              <w:t xml:space="preserve"> tiếp thu và</w:t>
            </w:r>
            <w:r w:rsidRPr="00BB7887">
              <w:rPr>
                <w:rFonts w:cs="Times New Roman"/>
                <w:sz w:val="26"/>
                <w:szCs w:val="26"/>
              </w:rPr>
              <w:t xml:space="preserve"> bỏ quy định về đối tượng áp dụng</w:t>
            </w:r>
          </w:p>
        </w:tc>
      </w:tr>
      <w:tr w:rsidR="00BB7887" w:rsidRPr="00BB7887" w14:paraId="5B8C6AD6" w14:textId="77777777" w:rsidTr="0048423B">
        <w:tc>
          <w:tcPr>
            <w:tcW w:w="708" w:type="dxa"/>
            <w:vAlign w:val="center"/>
          </w:tcPr>
          <w:p w14:paraId="4357D546" w14:textId="77777777" w:rsidR="00390A45" w:rsidRPr="00BB7887" w:rsidRDefault="00390A45" w:rsidP="009F48BB">
            <w:pPr>
              <w:spacing w:before="60" w:after="60" w:line="276" w:lineRule="auto"/>
              <w:rPr>
                <w:rFonts w:cs="Times New Roman"/>
                <w:b/>
                <w:sz w:val="26"/>
                <w:szCs w:val="26"/>
              </w:rPr>
            </w:pPr>
          </w:p>
        </w:tc>
        <w:tc>
          <w:tcPr>
            <w:tcW w:w="8643" w:type="dxa"/>
            <w:vAlign w:val="center"/>
          </w:tcPr>
          <w:p w14:paraId="1B9DC6CF" w14:textId="229CD57F" w:rsidR="00390A45" w:rsidRPr="00BB7887" w:rsidRDefault="00390A45" w:rsidP="009F48BB">
            <w:pPr>
              <w:jc w:val="both"/>
              <w:rPr>
                <w:rFonts w:cs="Times New Roman"/>
                <w:sz w:val="26"/>
                <w:szCs w:val="26"/>
              </w:rPr>
            </w:pPr>
            <w:r w:rsidRPr="00BB7887">
              <w:rPr>
                <w:rFonts w:cs="Times New Roman"/>
                <w:sz w:val="26"/>
                <w:szCs w:val="26"/>
              </w:rPr>
              <w:t xml:space="preserve">Về danh mục hoá chất: Đề nghị Quý Cục rà soát để điều chỉnh danh mục (nếu cần thiết) bảo đảm phù hợp với quy định của pháp luật và tình hình thực tiễn. Đồng thời, đề nghị Quý Cục chịu trách nhiệm về tính chính xác của các thông tin chuyên môn của danh mục ban hành kèm theo Thông tư này. </w:t>
            </w:r>
          </w:p>
        </w:tc>
        <w:tc>
          <w:tcPr>
            <w:tcW w:w="5246" w:type="dxa"/>
          </w:tcPr>
          <w:p w14:paraId="0EE0A7A7" w14:textId="59719CD6" w:rsidR="00390A45" w:rsidRPr="00BB7887" w:rsidRDefault="00191BE5" w:rsidP="00FB315C">
            <w:pPr>
              <w:pStyle w:val="ListParagraph"/>
              <w:tabs>
                <w:tab w:val="left" w:pos="339"/>
              </w:tabs>
              <w:spacing w:before="60" w:after="60"/>
              <w:ind w:left="0"/>
              <w:rPr>
                <w:rFonts w:cs="Times New Roman"/>
                <w:sz w:val="26"/>
                <w:szCs w:val="26"/>
              </w:rPr>
            </w:pPr>
            <w:r w:rsidRPr="00BB7887">
              <w:rPr>
                <w:rFonts w:cs="Times New Roman"/>
                <w:sz w:val="26"/>
                <w:szCs w:val="26"/>
              </w:rPr>
              <w:t>Đã tiếp thu và</w:t>
            </w:r>
            <w:r w:rsidR="00390A45" w:rsidRPr="00BB7887">
              <w:rPr>
                <w:rFonts w:cs="Times New Roman"/>
                <w:sz w:val="26"/>
                <w:szCs w:val="26"/>
              </w:rPr>
              <w:t xml:space="preserve"> rà soát, điều chỉnh danh mục</w:t>
            </w:r>
            <w:r w:rsidRPr="00BB7887">
              <w:rPr>
                <w:rFonts w:cs="Times New Roman"/>
                <w:sz w:val="26"/>
                <w:szCs w:val="26"/>
              </w:rPr>
              <w:t xml:space="preserve"> cho phù hợp</w:t>
            </w:r>
          </w:p>
        </w:tc>
      </w:tr>
      <w:tr w:rsidR="00BB7887" w:rsidRPr="00BB7887" w14:paraId="1A3A39BD" w14:textId="77777777" w:rsidTr="0048423B">
        <w:tc>
          <w:tcPr>
            <w:tcW w:w="708" w:type="dxa"/>
            <w:vAlign w:val="center"/>
          </w:tcPr>
          <w:p w14:paraId="006D7917" w14:textId="77777777" w:rsidR="00390A45" w:rsidRPr="00BB7887" w:rsidRDefault="00390A45" w:rsidP="009F48BB">
            <w:pPr>
              <w:spacing w:before="60" w:after="60" w:line="276" w:lineRule="auto"/>
              <w:rPr>
                <w:rFonts w:cs="Times New Roman"/>
                <w:b/>
                <w:sz w:val="26"/>
                <w:szCs w:val="26"/>
              </w:rPr>
            </w:pPr>
          </w:p>
        </w:tc>
        <w:tc>
          <w:tcPr>
            <w:tcW w:w="8643" w:type="dxa"/>
          </w:tcPr>
          <w:p w14:paraId="02CB1B6F" w14:textId="5E8596FE" w:rsidR="00390A45" w:rsidRPr="00BB7887" w:rsidRDefault="00390A45" w:rsidP="00FB315C">
            <w:pPr>
              <w:rPr>
                <w:rFonts w:cs="Times New Roman"/>
                <w:sz w:val="26"/>
                <w:szCs w:val="26"/>
              </w:rPr>
            </w:pPr>
            <w:r w:rsidRPr="00BB7887">
              <w:rPr>
                <w:rFonts w:cs="Times New Roman"/>
                <w:sz w:val="26"/>
                <w:szCs w:val="26"/>
              </w:rPr>
              <w:t>Về hiệu lực thi hành: Đề nghị rà soát thời điểm có hiệu lực thi hành bảo đảm không sớm hơn 45 ngày kể từ ngày ký ban hành, trừ trường hợp được áp dụng xây dựng Thông tư theo trình tự, thủ tục rút gọn.</w:t>
            </w:r>
          </w:p>
        </w:tc>
        <w:tc>
          <w:tcPr>
            <w:tcW w:w="5246" w:type="dxa"/>
            <w:vAlign w:val="center"/>
          </w:tcPr>
          <w:p w14:paraId="44E82E04" w14:textId="7112F8E0" w:rsidR="00390A45" w:rsidRPr="00BB7887" w:rsidRDefault="00370E4E" w:rsidP="00370E4E">
            <w:pPr>
              <w:pStyle w:val="ListParagraph"/>
              <w:tabs>
                <w:tab w:val="left" w:pos="339"/>
              </w:tabs>
              <w:spacing w:before="60" w:after="60"/>
              <w:ind w:left="0"/>
              <w:jc w:val="both"/>
              <w:rPr>
                <w:rFonts w:cs="Times New Roman"/>
                <w:sz w:val="26"/>
                <w:szCs w:val="26"/>
              </w:rPr>
            </w:pPr>
            <w:r w:rsidRPr="00BB7887">
              <w:rPr>
                <w:rFonts w:cs="Times New Roman"/>
                <w:sz w:val="26"/>
                <w:szCs w:val="26"/>
              </w:rPr>
              <w:t>Để đảm bảo hiệu lực thi hành của Thông tư cùng với thời điểm các Nghị định, Thông tư hướng dẫn thi hành Luật Hóa chất 2025 có hiệu lực, Cục Phòng bệnh đề xuất Thông tư có hiệu lực kể từ thời điểm ký, ban hành. Cục sẽ báo cáo xin ý kiến Ban Thường vụ Đảng ủy Bộ Y tế về nội dung này.</w:t>
            </w:r>
          </w:p>
        </w:tc>
      </w:tr>
      <w:tr w:rsidR="00BB7887" w:rsidRPr="00BB7887" w14:paraId="64F1CFE2" w14:textId="77777777" w:rsidTr="0048423B">
        <w:tc>
          <w:tcPr>
            <w:tcW w:w="708" w:type="dxa"/>
            <w:vAlign w:val="center"/>
          </w:tcPr>
          <w:p w14:paraId="144BD17E" w14:textId="1CACE0DB" w:rsidR="00003119" w:rsidRPr="00BB7887" w:rsidRDefault="00003119" w:rsidP="00BF7B4D">
            <w:pPr>
              <w:spacing w:before="60" w:after="60" w:line="276" w:lineRule="auto"/>
              <w:jc w:val="center"/>
              <w:rPr>
                <w:rFonts w:cs="Times New Roman"/>
                <w:b/>
                <w:sz w:val="26"/>
                <w:szCs w:val="26"/>
              </w:rPr>
            </w:pPr>
            <w:r w:rsidRPr="00BB7887">
              <w:rPr>
                <w:rFonts w:cs="Times New Roman"/>
                <w:b/>
                <w:sz w:val="26"/>
                <w:szCs w:val="26"/>
              </w:rPr>
              <w:t>2</w:t>
            </w:r>
          </w:p>
        </w:tc>
        <w:tc>
          <w:tcPr>
            <w:tcW w:w="8643" w:type="dxa"/>
            <w:vAlign w:val="center"/>
          </w:tcPr>
          <w:p w14:paraId="3BB09907" w14:textId="5ED7F735" w:rsidR="00003119" w:rsidRPr="00BB7887" w:rsidRDefault="00003119" w:rsidP="009F48BB">
            <w:pPr>
              <w:jc w:val="both"/>
              <w:rPr>
                <w:rFonts w:cs="Times New Roman"/>
                <w:b/>
                <w:sz w:val="26"/>
                <w:szCs w:val="26"/>
              </w:rPr>
            </w:pPr>
            <w:r w:rsidRPr="00BB7887">
              <w:rPr>
                <w:rFonts w:cs="Times New Roman"/>
                <w:b/>
                <w:sz w:val="26"/>
                <w:szCs w:val="26"/>
              </w:rPr>
              <w:t>Văn Phòng Bộ</w:t>
            </w:r>
          </w:p>
        </w:tc>
        <w:tc>
          <w:tcPr>
            <w:tcW w:w="5246" w:type="dxa"/>
            <w:vAlign w:val="center"/>
          </w:tcPr>
          <w:p w14:paraId="00EB7B9C" w14:textId="77777777" w:rsidR="00003119" w:rsidRPr="00BB7887" w:rsidRDefault="00003119" w:rsidP="009F48BB">
            <w:pPr>
              <w:spacing w:before="60" w:after="60" w:line="276" w:lineRule="auto"/>
              <w:jc w:val="both"/>
              <w:rPr>
                <w:rFonts w:eastAsia="Aptos" w:cs="Times New Roman"/>
                <w:kern w:val="2"/>
                <w:sz w:val="26"/>
                <w:szCs w:val="26"/>
                <w14:ligatures w14:val="standardContextual"/>
              </w:rPr>
            </w:pPr>
          </w:p>
        </w:tc>
      </w:tr>
      <w:tr w:rsidR="00BB7887" w:rsidRPr="00BB7887" w14:paraId="06F73370" w14:textId="77777777" w:rsidTr="0048423B">
        <w:trPr>
          <w:trHeight w:val="678"/>
        </w:trPr>
        <w:tc>
          <w:tcPr>
            <w:tcW w:w="708" w:type="dxa"/>
            <w:vAlign w:val="center"/>
          </w:tcPr>
          <w:p w14:paraId="25DD38B9" w14:textId="77777777" w:rsidR="00003119" w:rsidRPr="00BB7887" w:rsidRDefault="00003119" w:rsidP="00BF7B4D">
            <w:pPr>
              <w:spacing w:before="60" w:after="60" w:line="276" w:lineRule="auto"/>
              <w:jc w:val="center"/>
              <w:rPr>
                <w:rFonts w:cs="Times New Roman"/>
                <w:b/>
                <w:sz w:val="26"/>
                <w:szCs w:val="26"/>
              </w:rPr>
            </w:pPr>
          </w:p>
        </w:tc>
        <w:tc>
          <w:tcPr>
            <w:tcW w:w="8643" w:type="dxa"/>
            <w:vAlign w:val="center"/>
          </w:tcPr>
          <w:p w14:paraId="32D5E44E" w14:textId="2482B982" w:rsidR="00003119" w:rsidRPr="00BB7887" w:rsidRDefault="00003119" w:rsidP="009F48BB">
            <w:pPr>
              <w:jc w:val="both"/>
              <w:rPr>
                <w:rFonts w:cs="Times New Roman"/>
                <w:sz w:val="26"/>
                <w:szCs w:val="26"/>
              </w:rPr>
            </w:pPr>
            <w:r w:rsidRPr="00BB7887">
              <w:rPr>
                <w:rFonts w:cs="Times New Roman"/>
                <w:sz w:val="26"/>
                <w:szCs w:val="26"/>
              </w:rPr>
              <w:t>Văn phòng Bộ nhất trí với các dự thảo và Báo cáo nêu trên. Bên cạnh đó, Văn phòng Bộ nhận định dự thảo Thông tư không quy định thủ tục hành chính.</w:t>
            </w:r>
          </w:p>
        </w:tc>
        <w:tc>
          <w:tcPr>
            <w:tcW w:w="5246" w:type="dxa"/>
            <w:vAlign w:val="center"/>
          </w:tcPr>
          <w:p w14:paraId="52A45FAC" w14:textId="54C56B02" w:rsidR="00003119" w:rsidRPr="00BB7887" w:rsidRDefault="00003119" w:rsidP="009F48BB">
            <w:pPr>
              <w:spacing w:before="60" w:after="60" w:line="276" w:lineRule="auto"/>
              <w:jc w:val="both"/>
              <w:rPr>
                <w:rFonts w:cs="Times New Roman"/>
                <w:sz w:val="26"/>
                <w:szCs w:val="26"/>
              </w:rPr>
            </w:pPr>
          </w:p>
        </w:tc>
      </w:tr>
      <w:tr w:rsidR="00BB7887" w:rsidRPr="00BB7887" w14:paraId="53791EA5" w14:textId="77777777" w:rsidTr="0048423B">
        <w:trPr>
          <w:trHeight w:val="432"/>
        </w:trPr>
        <w:tc>
          <w:tcPr>
            <w:tcW w:w="708" w:type="dxa"/>
            <w:vAlign w:val="center"/>
          </w:tcPr>
          <w:p w14:paraId="43D61F9C" w14:textId="207FEA08" w:rsidR="00003119" w:rsidRPr="00BB7887" w:rsidRDefault="00003119" w:rsidP="00BF7B4D">
            <w:pPr>
              <w:spacing w:before="60" w:after="60" w:line="276" w:lineRule="auto"/>
              <w:jc w:val="center"/>
              <w:rPr>
                <w:rFonts w:cs="Times New Roman"/>
                <w:b/>
                <w:sz w:val="26"/>
                <w:szCs w:val="26"/>
              </w:rPr>
            </w:pPr>
            <w:r w:rsidRPr="00BB7887">
              <w:rPr>
                <w:rFonts w:cs="Times New Roman"/>
                <w:b/>
                <w:sz w:val="26"/>
                <w:szCs w:val="26"/>
              </w:rPr>
              <w:t>3</w:t>
            </w:r>
          </w:p>
        </w:tc>
        <w:tc>
          <w:tcPr>
            <w:tcW w:w="13889" w:type="dxa"/>
            <w:gridSpan w:val="2"/>
            <w:vAlign w:val="center"/>
          </w:tcPr>
          <w:p w14:paraId="08878EAC" w14:textId="12BBFE42" w:rsidR="00003119" w:rsidRPr="00BB7887" w:rsidRDefault="00003119" w:rsidP="00FD1B7F">
            <w:pPr>
              <w:jc w:val="both"/>
              <w:rPr>
                <w:rFonts w:cs="Times New Roman"/>
                <w:b/>
                <w:sz w:val="26"/>
                <w:szCs w:val="26"/>
              </w:rPr>
            </w:pPr>
            <w:r w:rsidRPr="00BB7887">
              <w:rPr>
                <w:rFonts w:cs="Times New Roman"/>
                <w:b/>
                <w:sz w:val="26"/>
                <w:szCs w:val="26"/>
              </w:rPr>
              <w:t>Viện Pasteur Hồ</w:t>
            </w:r>
            <w:r w:rsidR="00FD1B7F" w:rsidRPr="00BB7887">
              <w:rPr>
                <w:rFonts w:cs="Times New Roman"/>
                <w:b/>
                <w:sz w:val="26"/>
                <w:szCs w:val="26"/>
              </w:rPr>
              <w:t xml:space="preserve"> Chí Minh</w:t>
            </w:r>
          </w:p>
        </w:tc>
      </w:tr>
      <w:tr w:rsidR="00BB7887" w:rsidRPr="00BB7887" w14:paraId="187B34DC" w14:textId="77777777" w:rsidTr="0048423B">
        <w:trPr>
          <w:trHeight w:val="432"/>
        </w:trPr>
        <w:tc>
          <w:tcPr>
            <w:tcW w:w="708" w:type="dxa"/>
            <w:vAlign w:val="center"/>
          </w:tcPr>
          <w:p w14:paraId="689988B0" w14:textId="77777777" w:rsidR="00003119" w:rsidRPr="00BB7887" w:rsidRDefault="00003119" w:rsidP="00BF7B4D">
            <w:pPr>
              <w:spacing w:before="60" w:after="60" w:line="276" w:lineRule="auto"/>
              <w:jc w:val="center"/>
              <w:rPr>
                <w:rFonts w:cs="Times New Roman"/>
                <w:sz w:val="26"/>
                <w:szCs w:val="26"/>
              </w:rPr>
            </w:pPr>
          </w:p>
        </w:tc>
        <w:tc>
          <w:tcPr>
            <w:tcW w:w="8643" w:type="dxa"/>
            <w:vAlign w:val="center"/>
          </w:tcPr>
          <w:p w14:paraId="651DC597" w14:textId="407BBFA7" w:rsidR="00003119" w:rsidRPr="00BB7887" w:rsidRDefault="00003119" w:rsidP="009F48BB">
            <w:pPr>
              <w:jc w:val="both"/>
              <w:rPr>
                <w:rFonts w:cs="Times New Roman"/>
                <w:sz w:val="26"/>
                <w:szCs w:val="26"/>
              </w:rPr>
            </w:pPr>
            <w:r w:rsidRPr="00BB7887">
              <w:rPr>
                <w:rFonts w:cs="Times New Roman"/>
                <w:sz w:val="26"/>
                <w:szCs w:val="26"/>
              </w:rPr>
              <w:t>Đồng ý với nội dung Dự thảo</w:t>
            </w:r>
          </w:p>
        </w:tc>
        <w:tc>
          <w:tcPr>
            <w:tcW w:w="5246" w:type="dxa"/>
            <w:vAlign w:val="center"/>
          </w:tcPr>
          <w:p w14:paraId="42322326" w14:textId="34A70D49" w:rsidR="00003119" w:rsidRPr="00BB7887" w:rsidRDefault="00003119" w:rsidP="009F48BB">
            <w:pPr>
              <w:spacing w:before="60" w:after="60" w:line="276" w:lineRule="auto"/>
              <w:jc w:val="both"/>
              <w:rPr>
                <w:rFonts w:cs="Times New Roman"/>
                <w:sz w:val="26"/>
                <w:szCs w:val="26"/>
              </w:rPr>
            </w:pPr>
          </w:p>
        </w:tc>
      </w:tr>
      <w:tr w:rsidR="00BB7887" w:rsidRPr="00BB7887" w14:paraId="67CBCB83" w14:textId="77777777" w:rsidTr="0048423B">
        <w:tc>
          <w:tcPr>
            <w:tcW w:w="708" w:type="dxa"/>
            <w:vAlign w:val="center"/>
          </w:tcPr>
          <w:p w14:paraId="49A79D69" w14:textId="772C85A4" w:rsidR="00003119" w:rsidRPr="00BB7887" w:rsidRDefault="00003119" w:rsidP="00BF7B4D">
            <w:pPr>
              <w:spacing w:before="60" w:after="60" w:line="276" w:lineRule="auto"/>
              <w:jc w:val="center"/>
              <w:rPr>
                <w:rFonts w:cs="Times New Roman"/>
                <w:b/>
                <w:sz w:val="26"/>
                <w:szCs w:val="26"/>
              </w:rPr>
            </w:pPr>
            <w:r w:rsidRPr="00BB7887">
              <w:rPr>
                <w:rFonts w:cs="Times New Roman"/>
                <w:b/>
                <w:sz w:val="26"/>
                <w:szCs w:val="26"/>
              </w:rPr>
              <w:t>4</w:t>
            </w:r>
          </w:p>
        </w:tc>
        <w:tc>
          <w:tcPr>
            <w:tcW w:w="13889" w:type="dxa"/>
            <w:gridSpan w:val="2"/>
            <w:vAlign w:val="center"/>
          </w:tcPr>
          <w:p w14:paraId="3E4E958B" w14:textId="00D784EF" w:rsidR="00003119" w:rsidRPr="00BB7887" w:rsidRDefault="00003119" w:rsidP="009F48BB">
            <w:pPr>
              <w:jc w:val="both"/>
              <w:rPr>
                <w:rFonts w:cs="Times New Roman"/>
                <w:b/>
                <w:sz w:val="26"/>
                <w:szCs w:val="26"/>
              </w:rPr>
            </w:pPr>
            <w:r w:rsidRPr="00BB7887">
              <w:rPr>
                <w:rFonts w:cs="Times New Roman"/>
                <w:b/>
                <w:sz w:val="26"/>
                <w:szCs w:val="26"/>
              </w:rPr>
              <w:t>Viện Sốt rét – Ký sinh trùng – Côn trùng Trung ương</w:t>
            </w:r>
          </w:p>
        </w:tc>
      </w:tr>
      <w:tr w:rsidR="00BB7887" w:rsidRPr="00BB7887" w14:paraId="31D94617" w14:textId="77777777" w:rsidTr="0048423B">
        <w:trPr>
          <w:trHeight w:val="1087"/>
        </w:trPr>
        <w:tc>
          <w:tcPr>
            <w:tcW w:w="708" w:type="dxa"/>
            <w:vAlign w:val="center"/>
          </w:tcPr>
          <w:p w14:paraId="104B4E83" w14:textId="77777777" w:rsidR="00003119" w:rsidRPr="00BB7887" w:rsidRDefault="00003119" w:rsidP="00BF7B4D">
            <w:pPr>
              <w:spacing w:before="60" w:after="60" w:line="276" w:lineRule="auto"/>
              <w:jc w:val="center"/>
              <w:rPr>
                <w:rFonts w:cs="Times New Roman"/>
                <w:b/>
                <w:sz w:val="26"/>
                <w:szCs w:val="26"/>
              </w:rPr>
            </w:pPr>
          </w:p>
        </w:tc>
        <w:tc>
          <w:tcPr>
            <w:tcW w:w="8643" w:type="dxa"/>
            <w:vAlign w:val="center"/>
          </w:tcPr>
          <w:p w14:paraId="6CB7DAEB" w14:textId="77777777" w:rsidR="00003119" w:rsidRPr="00BB7887" w:rsidRDefault="00003119" w:rsidP="009F48BB">
            <w:pPr>
              <w:jc w:val="both"/>
              <w:rPr>
                <w:rFonts w:cs="Times New Roman"/>
                <w:sz w:val="26"/>
                <w:szCs w:val="26"/>
              </w:rPr>
            </w:pPr>
            <w:r w:rsidRPr="00BB7887">
              <w:rPr>
                <w:rFonts w:cs="Times New Roman"/>
                <w:sz w:val="26"/>
                <w:szCs w:val="26"/>
              </w:rPr>
              <w:t>Viện đồng ý với Danh mục hóa chất không được sử dụng và Danh mục hóa chất nguy hiểm cần công bố thông tin.</w:t>
            </w:r>
          </w:p>
          <w:p w14:paraId="340FBCF9" w14:textId="4ED30E4A" w:rsidR="00003119" w:rsidRPr="00BB7887" w:rsidRDefault="00003119" w:rsidP="009F48BB">
            <w:pPr>
              <w:jc w:val="both"/>
              <w:rPr>
                <w:rFonts w:cs="Times New Roman"/>
                <w:sz w:val="26"/>
                <w:szCs w:val="26"/>
              </w:rPr>
            </w:pPr>
            <w:r w:rsidRPr="00BB7887">
              <w:rPr>
                <w:rFonts w:cs="Times New Roman"/>
                <w:sz w:val="26"/>
                <w:szCs w:val="26"/>
              </w:rPr>
              <w:t>Rà soát lại các mục trùng lặp trong Danh mục hóa chất nguy hiểm</w:t>
            </w:r>
          </w:p>
        </w:tc>
        <w:tc>
          <w:tcPr>
            <w:tcW w:w="5246" w:type="dxa"/>
            <w:vAlign w:val="center"/>
          </w:tcPr>
          <w:p w14:paraId="5AD17DF0" w14:textId="0AF9B995" w:rsidR="00003119" w:rsidRPr="00BB7887" w:rsidRDefault="00D92ADA" w:rsidP="009F48BB">
            <w:pPr>
              <w:spacing w:before="60" w:after="60" w:line="276" w:lineRule="auto"/>
              <w:jc w:val="both"/>
              <w:rPr>
                <w:rFonts w:cs="Times New Roman"/>
                <w:sz w:val="26"/>
                <w:szCs w:val="26"/>
              </w:rPr>
            </w:pPr>
            <w:r w:rsidRPr="00BB7887">
              <w:rPr>
                <w:rFonts w:cs="Times New Roman"/>
                <w:sz w:val="26"/>
                <w:szCs w:val="26"/>
              </w:rPr>
              <w:t>Đã tiếp thu và rà soát, điều chỉnh danh mục cho phù hợp</w:t>
            </w:r>
          </w:p>
        </w:tc>
      </w:tr>
      <w:tr w:rsidR="00BB7887" w:rsidRPr="00BB7887" w14:paraId="4923442D" w14:textId="77777777" w:rsidTr="0048423B">
        <w:trPr>
          <w:trHeight w:val="499"/>
        </w:trPr>
        <w:tc>
          <w:tcPr>
            <w:tcW w:w="708" w:type="dxa"/>
            <w:vAlign w:val="center"/>
          </w:tcPr>
          <w:p w14:paraId="19F56252" w14:textId="68FB4D4F" w:rsidR="00096D2D" w:rsidRPr="00BB7887" w:rsidRDefault="00096D2D" w:rsidP="00BF7B4D">
            <w:pPr>
              <w:spacing w:before="60" w:after="60" w:line="276" w:lineRule="auto"/>
              <w:jc w:val="center"/>
              <w:rPr>
                <w:rFonts w:cs="Times New Roman"/>
                <w:b/>
                <w:sz w:val="26"/>
                <w:szCs w:val="26"/>
              </w:rPr>
            </w:pPr>
            <w:r w:rsidRPr="00BB7887">
              <w:rPr>
                <w:rFonts w:cs="Times New Roman"/>
                <w:b/>
                <w:sz w:val="26"/>
                <w:szCs w:val="26"/>
              </w:rPr>
              <w:t>5</w:t>
            </w:r>
          </w:p>
        </w:tc>
        <w:tc>
          <w:tcPr>
            <w:tcW w:w="8643" w:type="dxa"/>
            <w:vAlign w:val="center"/>
          </w:tcPr>
          <w:p w14:paraId="75C9AE0A" w14:textId="4603259C" w:rsidR="00096D2D" w:rsidRPr="00BB7887" w:rsidRDefault="00096D2D" w:rsidP="009F48BB">
            <w:pPr>
              <w:jc w:val="both"/>
              <w:rPr>
                <w:rFonts w:cs="Times New Roman"/>
                <w:b/>
                <w:sz w:val="26"/>
                <w:szCs w:val="26"/>
              </w:rPr>
            </w:pPr>
            <w:r w:rsidRPr="00BB7887">
              <w:rPr>
                <w:rFonts w:cs="Times New Roman"/>
                <w:b/>
                <w:sz w:val="26"/>
                <w:szCs w:val="26"/>
              </w:rPr>
              <w:t>Viện Pasteur Nha Trang</w:t>
            </w:r>
          </w:p>
        </w:tc>
        <w:tc>
          <w:tcPr>
            <w:tcW w:w="5246" w:type="dxa"/>
            <w:vAlign w:val="center"/>
          </w:tcPr>
          <w:p w14:paraId="5526B60F" w14:textId="77777777" w:rsidR="00096D2D" w:rsidRPr="00BB7887" w:rsidRDefault="00096D2D" w:rsidP="009F48BB">
            <w:pPr>
              <w:spacing w:before="60" w:after="60" w:line="276" w:lineRule="auto"/>
              <w:jc w:val="both"/>
              <w:rPr>
                <w:rFonts w:cs="Times New Roman"/>
                <w:sz w:val="26"/>
                <w:szCs w:val="26"/>
              </w:rPr>
            </w:pPr>
          </w:p>
        </w:tc>
      </w:tr>
      <w:tr w:rsidR="00BB7887" w:rsidRPr="00BB7887" w14:paraId="7CC5803C" w14:textId="77777777" w:rsidTr="0048423B">
        <w:trPr>
          <w:trHeight w:val="543"/>
        </w:trPr>
        <w:tc>
          <w:tcPr>
            <w:tcW w:w="708" w:type="dxa"/>
            <w:vAlign w:val="center"/>
          </w:tcPr>
          <w:p w14:paraId="401AA63A" w14:textId="77777777" w:rsidR="00096D2D" w:rsidRPr="00BB7887" w:rsidRDefault="00096D2D" w:rsidP="00BF7B4D">
            <w:pPr>
              <w:spacing w:before="60" w:after="60" w:line="276" w:lineRule="auto"/>
              <w:jc w:val="center"/>
              <w:rPr>
                <w:rFonts w:cs="Times New Roman"/>
                <w:b/>
                <w:sz w:val="26"/>
                <w:szCs w:val="26"/>
              </w:rPr>
            </w:pPr>
          </w:p>
        </w:tc>
        <w:tc>
          <w:tcPr>
            <w:tcW w:w="8643" w:type="dxa"/>
            <w:vAlign w:val="center"/>
          </w:tcPr>
          <w:p w14:paraId="5967D7EF" w14:textId="3E264A6B" w:rsidR="00096D2D" w:rsidRPr="00BB7887" w:rsidRDefault="00096D2D" w:rsidP="009F48BB">
            <w:pPr>
              <w:jc w:val="both"/>
              <w:rPr>
                <w:rFonts w:cs="Times New Roman"/>
                <w:sz w:val="26"/>
                <w:szCs w:val="26"/>
              </w:rPr>
            </w:pPr>
            <w:r w:rsidRPr="00BB7887">
              <w:rPr>
                <w:rFonts w:cs="Times New Roman"/>
                <w:sz w:val="26"/>
                <w:szCs w:val="26"/>
              </w:rPr>
              <w:t>Đồng ý với các nội dung và không có ý kiến bổ sung</w:t>
            </w:r>
          </w:p>
        </w:tc>
        <w:tc>
          <w:tcPr>
            <w:tcW w:w="5246" w:type="dxa"/>
            <w:vAlign w:val="center"/>
          </w:tcPr>
          <w:p w14:paraId="7FD3D5FE" w14:textId="77777777" w:rsidR="00096D2D" w:rsidRPr="00BB7887" w:rsidRDefault="00096D2D" w:rsidP="009F48BB">
            <w:pPr>
              <w:spacing w:before="60" w:after="60" w:line="276" w:lineRule="auto"/>
              <w:jc w:val="both"/>
              <w:rPr>
                <w:rFonts w:cs="Times New Roman"/>
                <w:sz w:val="26"/>
                <w:szCs w:val="26"/>
              </w:rPr>
            </w:pPr>
          </w:p>
        </w:tc>
      </w:tr>
      <w:tr w:rsidR="00BB7887" w:rsidRPr="00BB7887" w14:paraId="5D361793" w14:textId="77777777" w:rsidTr="0048423B">
        <w:trPr>
          <w:trHeight w:val="571"/>
        </w:trPr>
        <w:tc>
          <w:tcPr>
            <w:tcW w:w="708" w:type="dxa"/>
            <w:vAlign w:val="center"/>
          </w:tcPr>
          <w:p w14:paraId="527A2F08" w14:textId="7F335736" w:rsidR="00096D2D" w:rsidRPr="00BB7887" w:rsidRDefault="00096D2D" w:rsidP="00BF7B4D">
            <w:pPr>
              <w:spacing w:before="60" w:after="60" w:line="276" w:lineRule="auto"/>
              <w:jc w:val="center"/>
              <w:rPr>
                <w:rFonts w:cs="Times New Roman"/>
                <w:b/>
                <w:sz w:val="26"/>
                <w:szCs w:val="26"/>
              </w:rPr>
            </w:pPr>
            <w:r w:rsidRPr="00BB7887">
              <w:rPr>
                <w:rFonts w:cs="Times New Roman"/>
                <w:b/>
                <w:sz w:val="26"/>
                <w:szCs w:val="26"/>
              </w:rPr>
              <w:t>6</w:t>
            </w:r>
          </w:p>
        </w:tc>
        <w:tc>
          <w:tcPr>
            <w:tcW w:w="8643" w:type="dxa"/>
            <w:vAlign w:val="center"/>
          </w:tcPr>
          <w:p w14:paraId="346B2777" w14:textId="7FC44F2F" w:rsidR="00096D2D" w:rsidRPr="00BB7887" w:rsidRDefault="00096D2D" w:rsidP="009F48BB">
            <w:pPr>
              <w:jc w:val="both"/>
              <w:rPr>
                <w:rFonts w:cs="Times New Roman"/>
                <w:b/>
                <w:sz w:val="26"/>
                <w:szCs w:val="26"/>
              </w:rPr>
            </w:pPr>
            <w:r w:rsidRPr="00BB7887">
              <w:rPr>
                <w:rFonts w:cs="Times New Roman"/>
                <w:b/>
                <w:sz w:val="26"/>
                <w:szCs w:val="26"/>
              </w:rPr>
              <w:t>Viện Y tế Công cộng thành phố Hồ Chí Minh</w:t>
            </w:r>
          </w:p>
        </w:tc>
        <w:tc>
          <w:tcPr>
            <w:tcW w:w="5246" w:type="dxa"/>
            <w:vAlign w:val="center"/>
          </w:tcPr>
          <w:p w14:paraId="0DD5C6BE" w14:textId="77777777" w:rsidR="00096D2D" w:rsidRPr="00BB7887" w:rsidRDefault="00096D2D" w:rsidP="009F48BB">
            <w:pPr>
              <w:spacing w:before="60" w:after="60" w:line="276" w:lineRule="auto"/>
              <w:jc w:val="both"/>
              <w:rPr>
                <w:rFonts w:cs="Times New Roman"/>
                <w:sz w:val="26"/>
                <w:szCs w:val="26"/>
              </w:rPr>
            </w:pPr>
          </w:p>
        </w:tc>
      </w:tr>
      <w:tr w:rsidR="00BB7887" w:rsidRPr="00BB7887" w14:paraId="499127E7" w14:textId="77777777" w:rsidTr="0048423B">
        <w:trPr>
          <w:trHeight w:val="617"/>
        </w:trPr>
        <w:tc>
          <w:tcPr>
            <w:tcW w:w="708" w:type="dxa"/>
            <w:vAlign w:val="center"/>
          </w:tcPr>
          <w:p w14:paraId="0AFA5023" w14:textId="77777777" w:rsidR="00096D2D" w:rsidRPr="00BB7887" w:rsidRDefault="00096D2D" w:rsidP="00BF7B4D">
            <w:pPr>
              <w:spacing w:before="60" w:after="60" w:line="276" w:lineRule="auto"/>
              <w:jc w:val="center"/>
              <w:rPr>
                <w:rFonts w:cs="Times New Roman"/>
                <w:b/>
                <w:sz w:val="26"/>
                <w:szCs w:val="26"/>
              </w:rPr>
            </w:pPr>
          </w:p>
        </w:tc>
        <w:tc>
          <w:tcPr>
            <w:tcW w:w="8643" w:type="dxa"/>
            <w:vAlign w:val="center"/>
          </w:tcPr>
          <w:p w14:paraId="3FE0F8E6" w14:textId="3FAD73A7" w:rsidR="00096D2D" w:rsidRPr="00BB7887" w:rsidRDefault="00096D2D" w:rsidP="00362B41">
            <w:pPr>
              <w:rPr>
                <w:rFonts w:cs="Times New Roman"/>
                <w:sz w:val="26"/>
                <w:szCs w:val="26"/>
              </w:rPr>
            </w:pPr>
            <w:r w:rsidRPr="00BB7887">
              <w:rPr>
                <w:rFonts w:cs="Times New Roman"/>
                <w:sz w:val="26"/>
                <w:szCs w:val="26"/>
              </w:rPr>
              <w:t>Báo cáo Tổng kết thi hành Thông tư số 11/2020/TT-BYT</w:t>
            </w:r>
          </w:p>
        </w:tc>
        <w:tc>
          <w:tcPr>
            <w:tcW w:w="5246" w:type="dxa"/>
            <w:vAlign w:val="center"/>
          </w:tcPr>
          <w:p w14:paraId="34B97383" w14:textId="77777777" w:rsidR="00096D2D" w:rsidRPr="00BB7887" w:rsidRDefault="00096D2D" w:rsidP="009F48BB">
            <w:pPr>
              <w:spacing w:before="60" w:after="60" w:line="276" w:lineRule="auto"/>
              <w:jc w:val="both"/>
              <w:rPr>
                <w:rFonts w:cs="Times New Roman"/>
                <w:sz w:val="26"/>
                <w:szCs w:val="26"/>
              </w:rPr>
            </w:pPr>
          </w:p>
        </w:tc>
      </w:tr>
      <w:tr w:rsidR="00BB7887" w:rsidRPr="00BB7887" w14:paraId="47D77237" w14:textId="77777777" w:rsidTr="0048423B">
        <w:trPr>
          <w:trHeight w:val="1689"/>
        </w:trPr>
        <w:tc>
          <w:tcPr>
            <w:tcW w:w="708" w:type="dxa"/>
            <w:vAlign w:val="center"/>
          </w:tcPr>
          <w:p w14:paraId="6F59C502" w14:textId="77777777" w:rsidR="00096D2D" w:rsidRPr="00BB7887" w:rsidRDefault="00096D2D" w:rsidP="00BF7B4D">
            <w:pPr>
              <w:spacing w:before="60" w:after="60" w:line="276" w:lineRule="auto"/>
              <w:jc w:val="center"/>
              <w:rPr>
                <w:rFonts w:cs="Times New Roman"/>
                <w:b/>
                <w:sz w:val="26"/>
                <w:szCs w:val="26"/>
              </w:rPr>
            </w:pPr>
          </w:p>
        </w:tc>
        <w:tc>
          <w:tcPr>
            <w:tcW w:w="8643" w:type="dxa"/>
            <w:vAlign w:val="center"/>
          </w:tcPr>
          <w:p w14:paraId="61E7D742" w14:textId="37B18AF4" w:rsidR="00096D2D" w:rsidRPr="00BB7887" w:rsidRDefault="00096D2D" w:rsidP="00FD1B7F">
            <w:pPr>
              <w:jc w:val="both"/>
              <w:rPr>
                <w:rFonts w:cs="Times New Roman"/>
                <w:sz w:val="26"/>
                <w:szCs w:val="26"/>
              </w:rPr>
            </w:pPr>
            <w:r w:rsidRPr="00BB7887">
              <w:rPr>
                <w:rFonts w:cs="Times New Roman"/>
                <w:sz w:val="26"/>
                <w:szCs w:val="26"/>
              </w:rPr>
              <w:t>Nội dung báo cáo chỉ mô tả chung về thực trạng, chưa có số liệu cụ thể về các kết quả đã triển khai thực hiện và đạt được, do đó đề nghị Ban soạn thảo xem xét bổ sung. Đề nghị Ban soạn thảo điều chỉnh nội dung báo cáo liền mạch, tránh chia nhiều phần ngắt quãng không diễn tả được các yêu cầu cần thực hiện. Xem lại định dạng trình bày báo cáo, rà soát chỉnh sửa các lỗi đánh máy trong văn bản.</w:t>
            </w:r>
          </w:p>
        </w:tc>
        <w:tc>
          <w:tcPr>
            <w:tcW w:w="5246" w:type="dxa"/>
            <w:vAlign w:val="center"/>
          </w:tcPr>
          <w:p w14:paraId="1639F0CC" w14:textId="6D33FD3A" w:rsidR="00096D2D" w:rsidRPr="00BB7887" w:rsidRDefault="00096D2D" w:rsidP="00096D2D">
            <w:pPr>
              <w:spacing w:before="60" w:after="60" w:line="276" w:lineRule="auto"/>
              <w:jc w:val="both"/>
              <w:rPr>
                <w:rFonts w:cs="Times New Roman"/>
                <w:sz w:val="26"/>
                <w:szCs w:val="26"/>
              </w:rPr>
            </w:pPr>
            <w:r w:rsidRPr="00BB7887">
              <w:rPr>
                <w:rFonts w:cs="Times New Roman"/>
                <w:sz w:val="26"/>
                <w:szCs w:val="26"/>
              </w:rPr>
              <w:t>Đã tiếp thu và rà soát, chỉnh sửa</w:t>
            </w:r>
          </w:p>
        </w:tc>
      </w:tr>
      <w:tr w:rsidR="00BB7887" w:rsidRPr="00BB7887" w14:paraId="0A59DE42" w14:textId="77777777" w:rsidTr="0048423B">
        <w:trPr>
          <w:trHeight w:val="531"/>
        </w:trPr>
        <w:tc>
          <w:tcPr>
            <w:tcW w:w="708" w:type="dxa"/>
            <w:vAlign w:val="center"/>
          </w:tcPr>
          <w:p w14:paraId="30BC1F04" w14:textId="77777777" w:rsidR="00362B41" w:rsidRPr="00BB7887" w:rsidRDefault="00362B41" w:rsidP="00BF7B4D">
            <w:pPr>
              <w:spacing w:before="60" w:after="60" w:line="276" w:lineRule="auto"/>
              <w:jc w:val="center"/>
              <w:rPr>
                <w:rFonts w:cs="Times New Roman"/>
                <w:b/>
                <w:sz w:val="26"/>
                <w:szCs w:val="26"/>
              </w:rPr>
            </w:pPr>
          </w:p>
        </w:tc>
        <w:tc>
          <w:tcPr>
            <w:tcW w:w="8643" w:type="dxa"/>
            <w:vAlign w:val="center"/>
          </w:tcPr>
          <w:p w14:paraId="3BFEAA4E" w14:textId="77FD8C44" w:rsidR="00362B41" w:rsidRPr="00BB7887" w:rsidRDefault="00362B41" w:rsidP="00362B41">
            <w:pPr>
              <w:rPr>
                <w:rFonts w:cs="Times New Roman"/>
                <w:sz w:val="26"/>
                <w:szCs w:val="26"/>
              </w:rPr>
            </w:pPr>
            <w:r w:rsidRPr="00BB7887">
              <w:rPr>
                <w:rFonts w:cs="Times New Roman"/>
                <w:sz w:val="26"/>
                <w:szCs w:val="26"/>
              </w:rPr>
              <w:t>Đối với dự thảo Thông tư: Viện không có ý kiến đóng góp</w:t>
            </w:r>
          </w:p>
        </w:tc>
        <w:tc>
          <w:tcPr>
            <w:tcW w:w="5246" w:type="dxa"/>
            <w:vAlign w:val="center"/>
          </w:tcPr>
          <w:p w14:paraId="33D8419C" w14:textId="77777777" w:rsidR="00362B41" w:rsidRPr="00BB7887" w:rsidRDefault="00362B41" w:rsidP="00096D2D">
            <w:pPr>
              <w:spacing w:before="60" w:after="60" w:line="276" w:lineRule="auto"/>
              <w:jc w:val="both"/>
              <w:rPr>
                <w:rFonts w:cs="Times New Roman"/>
                <w:sz w:val="26"/>
                <w:szCs w:val="26"/>
              </w:rPr>
            </w:pPr>
          </w:p>
        </w:tc>
      </w:tr>
      <w:tr w:rsidR="00BB7887" w:rsidRPr="00BB7887" w14:paraId="3F844688" w14:textId="77777777" w:rsidTr="0048423B">
        <w:tc>
          <w:tcPr>
            <w:tcW w:w="708" w:type="dxa"/>
            <w:vAlign w:val="center"/>
          </w:tcPr>
          <w:p w14:paraId="7762BB64" w14:textId="577AFB31" w:rsidR="00003119" w:rsidRPr="00BB7887" w:rsidRDefault="00003119" w:rsidP="00BF7B4D">
            <w:pPr>
              <w:spacing w:before="60" w:after="60" w:line="276" w:lineRule="auto"/>
              <w:jc w:val="center"/>
              <w:rPr>
                <w:rFonts w:cs="Times New Roman"/>
                <w:b/>
                <w:sz w:val="26"/>
                <w:szCs w:val="26"/>
              </w:rPr>
            </w:pPr>
            <w:r w:rsidRPr="00BB7887">
              <w:rPr>
                <w:rFonts w:cs="Times New Roman"/>
                <w:b/>
                <w:sz w:val="26"/>
                <w:szCs w:val="26"/>
              </w:rPr>
              <w:t>II</w:t>
            </w:r>
          </w:p>
        </w:tc>
        <w:tc>
          <w:tcPr>
            <w:tcW w:w="13889" w:type="dxa"/>
            <w:gridSpan w:val="2"/>
            <w:vAlign w:val="center"/>
          </w:tcPr>
          <w:p w14:paraId="21BBDFC5" w14:textId="65F30F76" w:rsidR="00003119" w:rsidRPr="00BB7887" w:rsidRDefault="00003119" w:rsidP="009F48BB">
            <w:pPr>
              <w:jc w:val="both"/>
              <w:rPr>
                <w:rFonts w:cs="Times New Roman"/>
                <w:b/>
                <w:sz w:val="26"/>
                <w:szCs w:val="26"/>
              </w:rPr>
            </w:pPr>
            <w:r w:rsidRPr="00BB7887">
              <w:rPr>
                <w:rFonts w:cs="Times New Roman"/>
                <w:b/>
                <w:sz w:val="26"/>
                <w:szCs w:val="26"/>
              </w:rPr>
              <w:t>BỘ, CƠ QUANG NGANG BỘ</w:t>
            </w:r>
          </w:p>
        </w:tc>
      </w:tr>
      <w:tr w:rsidR="00BB7887" w:rsidRPr="00BB7887" w14:paraId="5E478856" w14:textId="77777777" w:rsidTr="0048423B">
        <w:tc>
          <w:tcPr>
            <w:tcW w:w="708" w:type="dxa"/>
            <w:vAlign w:val="center"/>
          </w:tcPr>
          <w:p w14:paraId="5092B190" w14:textId="4A90351A" w:rsidR="00003119" w:rsidRPr="00BB7887" w:rsidRDefault="00003119" w:rsidP="00BF7B4D">
            <w:pPr>
              <w:spacing w:before="60" w:after="60" w:line="276" w:lineRule="auto"/>
              <w:jc w:val="center"/>
              <w:rPr>
                <w:rFonts w:cs="Times New Roman"/>
                <w:b/>
                <w:sz w:val="26"/>
                <w:szCs w:val="26"/>
              </w:rPr>
            </w:pPr>
            <w:r w:rsidRPr="00BB7887">
              <w:rPr>
                <w:rFonts w:cs="Times New Roman"/>
                <w:b/>
                <w:sz w:val="26"/>
                <w:szCs w:val="26"/>
              </w:rPr>
              <w:t>1</w:t>
            </w:r>
          </w:p>
        </w:tc>
        <w:tc>
          <w:tcPr>
            <w:tcW w:w="8643" w:type="dxa"/>
            <w:vAlign w:val="center"/>
          </w:tcPr>
          <w:p w14:paraId="26B2B935" w14:textId="59B1D831" w:rsidR="00003119" w:rsidRPr="00BB7887" w:rsidRDefault="00003119" w:rsidP="009F48BB">
            <w:pPr>
              <w:jc w:val="both"/>
              <w:rPr>
                <w:rFonts w:cs="Times New Roman"/>
                <w:b/>
                <w:sz w:val="26"/>
                <w:szCs w:val="26"/>
              </w:rPr>
            </w:pPr>
            <w:r w:rsidRPr="00BB7887">
              <w:rPr>
                <w:rFonts w:cs="Times New Roman"/>
                <w:b/>
                <w:sz w:val="26"/>
                <w:szCs w:val="26"/>
              </w:rPr>
              <w:t>Bộ Nội vụ</w:t>
            </w:r>
          </w:p>
        </w:tc>
        <w:tc>
          <w:tcPr>
            <w:tcW w:w="5246" w:type="dxa"/>
            <w:vAlign w:val="center"/>
          </w:tcPr>
          <w:p w14:paraId="3177DC34" w14:textId="5693AFDC" w:rsidR="00003119" w:rsidRPr="00BB7887" w:rsidRDefault="00003119" w:rsidP="009F48BB">
            <w:pPr>
              <w:spacing w:before="60" w:after="60" w:line="276" w:lineRule="auto"/>
              <w:jc w:val="both"/>
              <w:rPr>
                <w:rFonts w:cs="Times New Roman"/>
                <w:sz w:val="26"/>
                <w:szCs w:val="26"/>
              </w:rPr>
            </w:pPr>
          </w:p>
        </w:tc>
      </w:tr>
      <w:tr w:rsidR="00BB7887" w:rsidRPr="00BB7887" w14:paraId="0E6C4883" w14:textId="77777777" w:rsidTr="0048423B">
        <w:tc>
          <w:tcPr>
            <w:tcW w:w="708" w:type="dxa"/>
            <w:vAlign w:val="center"/>
          </w:tcPr>
          <w:p w14:paraId="15FEFF59" w14:textId="77777777" w:rsidR="00D92ADA" w:rsidRPr="00BB7887" w:rsidRDefault="00D92ADA" w:rsidP="00BF7B4D">
            <w:pPr>
              <w:spacing w:before="60" w:after="60" w:line="276" w:lineRule="auto"/>
              <w:jc w:val="center"/>
              <w:rPr>
                <w:rFonts w:cs="Times New Roman"/>
                <w:b/>
                <w:sz w:val="26"/>
                <w:szCs w:val="26"/>
              </w:rPr>
            </w:pPr>
          </w:p>
        </w:tc>
        <w:tc>
          <w:tcPr>
            <w:tcW w:w="8643" w:type="dxa"/>
            <w:vAlign w:val="center"/>
          </w:tcPr>
          <w:p w14:paraId="7296C408" w14:textId="52E7CE7C" w:rsidR="00D92ADA" w:rsidRPr="00BB7887" w:rsidRDefault="00D92ADA" w:rsidP="009F48BB">
            <w:pPr>
              <w:jc w:val="both"/>
              <w:rPr>
                <w:rFonts w:cs="Times New Roman"/>
                <w:sz w:val="26"/>
                <w:szCs w:val="26"/>
              </w:rPr>
            </w:pPr>
            <w:r w:rsidRPr="00BB7887">
              <w:rPr>
                <w:rFonts w:cs="Times New Roman"/>
                <w:sz w:val="26"/>
                <w:szCs w:val="26"/>
              </w:rPr>
              <w:t>Đề nghị rà soát, chỉnh sửa bố cục (điều, khoản, phụ lục, danh mục...) dự thảo Thông tư, bảo đảm sự phù hợp với Mẫu số 15 Phụ lục III ban hành kèm theo Nghị định số 187/2025/NĐ-CP ngày 01/7/2025 của Chính phủ.</w:t>
            </w:r>
          </w:p>
        </w:tc>
        <w:tc>
          <w:tcPr>
            <w:tcW w:w="5246" w:type="dxa"/>
            <w:vAlign w:val="center"/>
          </w:tcPr>
          <w:p w14:paraId="1CEB6AC8" w14:textId="25EB7F7D" w:rsidR="00D92ADA" w:rsidRPr="00BB7887" w:rsidRDefault="00D92ADA" w:rsidP="00610406">
            <w:pPr>
              <w:spacing w:before="60" w:after="60" w:line="276" w:lineRule="auto"/>
              <w:jc w:val="both"/>
              <w:rPr>
                <w:rFonts w:cs="Times New Roman"/>
                <w:sz w:val="26"/>
                <w:szCs w:val="26"/>
              </w:rPr>
            </w:pPr>
            <w:r w:rsidRPr="00BB7887">
              <w:rPr>
                <w:rFonts w:cs="Times New Roman"/>
                <w:sz w:val="26"/>
                <w:szCs w:val="26"/>
              </w:rPr>
              <w:t>Đã tiếp thu</w:t>
            </w:r>
            <w:r w:rsidR="00610406" w:rsidRPr="00BB7887">
              <w:rPr>
                <w:rFonts w:cs="Times New Roman"/>
                <w:sz w:val="26"/>
                <w:szCs w:val="26"/>
              </w:rPr>
              <w:t xml:space="preserve"> và rà soát, chỉnh sửa</w:t>
            </w:r>
          </w:p>
        </w:tc>
      </w:tr>
      <w:tr w:rsidR="00BB7887" w:rsidRPr="00BB7887" w14:paraId="2A3B107F" w14:textId="77777777" w:rsidTr="0048423B">
        <w:tc>
          <w:tcPr>
            <w:tcW w:w="708" w:type="dxa"/>
            <w:vAlign w:val="center"/>
          </w:tcPr>
          <w:p w14:paraId="0FA0A837" w14:textId="77777777" w:rsidR="00D92ADA" w:rsidRPr="00BB7887" w:rsidRDefault="00D92ADA" w:rsidP="00BF7B4D">
            <w:pPr>
              <w:spacing w:before="60" w:after="60" w:line="276" w:lineRule="auto"/>
              <w:jc w:val="center"/>
              <w:rPr>
                <w:rFonts w:cs="Times New Roman"/>
                <w:b/>
                <w:sz w:val="26"/>
                <w:szCs w:val="26"/>
              </w:rPr>
            </w:pPr>
          </w:p>
        </w:tc>
        <w:tc>
          <w:tcPr>
            <w:tcW w:w="8643" w:type="dxa"/>
            <w:vAlign w:val="center"/>
          </w:tcPr>
          <w:p w14:paraId="21620B71" w14:textId="4596E581" w:rsidR="00D92ADA" w:rsidRPr="00BB7887" w:rsidRDefault="00D92ADA" w:rsidP="009F48BB">
            <w:pPr>
              <w:jc w:val="both"/>
              <w:rPr>
                <w:rFonts w:cs="Times New Roman"/>
                <w:sz w:val="26"/>
                <w:szCs w:val="26"/>
              </w:rPr>
            </w:pPr>
            <w:r w:rsidRPr="00BB7887">
              <w:rPr>
                <w:rFonts w:cs="Times New Roman"/>
                <w:sz w:val="26"/>
                <w:szCs w:val="26"/>
              </w:rPr>
              <w:t>Tại Điều 4 (Hiệu lực thi hành) quy định: Thông tư này có hiệu lực kể từ ngày ký, ban hành. Theo quy định tại Điều 53 Luật Ban hành văn bản quy phạm pháp luật (VBQPPL), thông tư có hiệu lực kể từ ngày ký ban hành trong trường hợp được xây dựng, ban hành theo trình tự, thủ tục rút gọn và trong trường hợp đặc biệt. Tuy nhiên, hồ sơ dự thảo thông tư không trình bày việc thông tư được xây dựng, ban hành theo trình tự, thủ tục rút gọn, trường hợp đặc biệt. Do đó, đề nghị rà soát, bổ sung nội dung hoặc điều chỉnh thời điểm có hiệu lực của Thông tư cho phù hợp với Luật Ban hành VBQPPL.</w:t>
            </w:r>
          </w:p>
        </w:tc>
        <w:tc>
          <w:tcPr>
            <w:tcW w:w="5246" w:type="dxa"/>
            <w:vAlign w:val="center"/>
          </w:tcPr>
          <w:p w14:paraId="495DB023" w14:textId="65CB3662" w:rsidR="00D92ADA" w:rsidRPr="00BB7887" w:rsidRDefault="00D92ADA" w:rsidP="00D92ADA">
            <w:pPr>
              <w:spacing w:before="60" w:after="60"/>
              <w:jc w:val="both"/>
              <w:rPr>
                <w:rFonts w:cs="Times New Roman"/>
                <w:sz w:val="26"/>
                <w:szCs w:val="26"/>
              </w:rPr>
            </w:pPr>
            <w:r w:rsidRPr="00BB7887">
              <w:rPr>
                <w:rFonts w:cs="Times New Roman"/>
                <w:sz w:val="26"/>
                <w:szCs w:val="26"/>
              </w:rPr>
              <w:t>Để đảm bảo hiệu lực thi hành của Thông tư cùng với thời điểm các Nghị định, Thông tư hướng dẫn thi hành Luật Hóa chất 2025 có hiệu lực, Cục Phòng bệnh đề xuất Thông tư có hiệu lực kể từ thời điểm ký, ban hành. Cục sẽ báo cáo xin ý kiến Ban Thường vụ Đảng ủy Bộ Y tế về nội dung này.</w:t>
            </w:r>
          </w:p>
        </w:tc>
      </w:tr>
      <w:tr w:rsidR="00BB7887" w:rsidRPr="00BB7887" w14:paraId="3C0D30F6" w14:textId="77777777" w:rsidTr="0048423B">
        <w:tc>
          <w:tcPr>
            <w:tcW w:w="708" w:type="dxa"/>
            <w:vAlign w:val="center"/>
          </w:tcPr>
          <w:p w14:paraId="4981D7F0" w14:textId="77777777" w:rsidR="00D92ADA" w:rsidRPr="00BB7887" w:rsidRDefault="00D92ADA" w:rsidP="00BF7B4D">
            <w:pPr>
              <w:spacing w:before="60" w:after="60" w:line="276" w:lineRule="auto"/>
              <w:jc w:val="center"/>
              <w:rPr>
                <w:rFonts w:cs="Times New Roman"/>
                <w:b/>
                <w:sz w:val="26"/>
                <w:szCs w:val="26"/>
              </w:rPr>
            </w:pPr>
          </w:p>
        </w:tc>
        <w:tc>
          <w:tcPr>
            <w:tcW w:w="8643" w:type="dxa"/>
          </w:tcPr>
          <w:p w14:paraId="1545E416" w14:textId="76DABE67" w:rsidR="00D92ADA" w:rsidRPr="00BB7887" w:rsidRDefault="00D92ADA" w:rsidP="00FB315C">
            <w:pPr>
              <w:jc w:val="both"/>
              <w:rPr>
                <w:rFonts w:cs="Times New Roman"/>
                <w:sz w:val="26"/>
                <w:szCs w:val="26"/>
              </w:rPr>
            </w:pPr>
            <w:r w:rsidRPr="00BB7887">
              <w:rPr>
                <w:rFonts w:cs="Times New Roman"/>
                <w:sz w:val="26"/>
                <w:szCs w:val="26"/>
              </w:rPr>
              <w:t xml:space="preserve">Tại Điều 5 (Điều khoản chuyển tiếp) quy định: </w:t>
            </w:r>
            <w:r w:rsidR="00EF303F" w:rsidRPr="00BB7887">
              <w:rPr>
                <w:rFonts w:cs="Times New Roman"/>
                <w:sz w:val="26"/>
                <w:szCs w:val="26"/>
              </w:rPr>
              <w:t>“</w:t>
            </w:r>
            <w:r w:rsidRPr="00BB7887">
              <w:rPr>
                <w:rFonts w:cs="Times New Roman"/>
                <w:i/>
                <w:sz w:val="26"/>
                <w:szCs w:val="26"/>
              </w:rPr>
              <w:t>Chế phẩm đã được cấp số đăng ký lưu hành trước ngày Thông tư này có hiệu lực phải hoàn thành việc công bố thông tin về hàm lượng hóa chất nguy hiểm trong chế phẩm trên cơ sở dữ liệu chuyên ngành hóa chất; công khai thông tin trên cổng thông tin điện tử, trang thông tin điện tử của tổ chức, cá nhân hoặc tại nơi trực tiếp cung cấp chế phẩm cho bên mua theo quy định tại khoản 1 Điều 32 Luật Hóa chất trước ngày 31/12/2026</w:t>
            </w:r>
            <w:r w:rsidR="00EF303F" w:rsidRPr="00BB7887">
              <w:rPr>
                <w:rFonts w:cs="Times New Roman"/>
                <w:i/>
                <w:sz w:val="26"/>
                <w:szCs w:val="26"/>
              </w:rPr>
              <w:t>”</w:t>
            </w:r>
            <w:r w:rsidRPr="00BB7887">
              <w:rPr>
                <w:rFonts w:cs="Times New Roman"/>
                <w:sz w:val="26"/>
                <w:szCs w:val="26"/>
              </w:rPr>
              <w:t>. Tuy nhiên, theo quy định tại khoản 1 Điều 32 Luật Hóa chất, các thông tin nêu trên phải được công bố trước khi lưu thông trên thị trường, không quy định về thời hạn ngày 31/12/2026. Do đó, đề nghị rà soát, làm rõ quy định về thời điểm công bố các thông tin đối với chế phẩm nêu trên, bảo đảm phù hợp Luật Hóa chất.</w:t>
            </w:r>
          </w:p>
        </w:tc>
        <w:tc>
          <w:tcPr>
            <w:tcW w:w="5246" w:type="dxa"/>
          </w:tcPr>
          <w:p w14:paraId="6E343CE0" w14:textId="79A5A0ED" w:rsidR="00D92ADA" w:rsidRPr="00BB7887" w:rsidRDefault="00F247B5" w:rsidP="0085004A">
            <w:pPr>
              <w:spacing w:before="60" w:after="60"/>
              <w:jc w:val="both"/>
              <w:rPr>
                <w:rFonts w:cs="Times New Roman"/>
                <w:i/>
                <w:sz w:val="26"/>
                <w:szCs w:val="26"/>
              </w:rPr>
            </w:pPr>
            <w:r w:rsidRPr="00BB7887">
              <w:rPr>
                <w:rFonts w:cs="Times New Roman"/>
                <w:sz w:val="26"/>
                <w:szCs w:val="26"/>
              </w:rPr>
              <w:t>Đã tiếp thu rà soát và điều chỉnh thành</w:t>
            </w:r>
            <w:r w:rsidRPr="00BB7887">
              <w:rPr>
                <w:rFonts w:cs="Times New Roman"/>
                <w:i/>
                <w:sz w:val="26"/>
                <w:szCs w:val="26"/>
              </w:rPr>
              <w:t xml:space="preserve"> </w:t>
            </w:r>
            <w:r w:rsidR="0085004A" w:rsidRPr="00BB7887">
              <w:rPr>
                <w:rFonts w:cs="Times New Roman"/>
                <w:i/>
                <w:sz w:val="26"/>
                <w:szCs w:val="26"/>
              </w:rPr>
              <w:t>“</w:t>
            </w:r>
            <w:r w:rsidRPr="00BB7887">
              <w:rPr>
                <w:rFonts w:cs="Times New Roman"/>
                <w:i/>
                <w:sz w:val="26"/>
                <w:szCs w:val="26"/>
              </w:rPr>
              <w:t>trước ngày 31/06/2026”</w:t>
            </w:r>
          </w:p>
          <w:p w14:paraId="354BE7ED" w14:textId="1B393CE4" w:rsidR="00F247B5" w:rsidRPr="00BB7887" w:rsidRDefault="00F247B5" w:rsidP="0085004A">
            <w:pPr>
              <w:spacing w:before="60" w:after="60"/>
              <w:jc w:val="both"/>
              <w:rPr>
                <w:rFonts w:cs="Times New Roman"/>
                <w:sz w:val="26"/>
                <w:szCs w:val="26"/>
              </w:rPr>
            </w:pPr>
            <w:r w:rsidRPr="00BB7887">
              <w:rPr>
                <w:rFonts w:cs="Times New Roman"/>
                <w:sz w:val="26"/>
                <w:szCs w:val="26"/>
              </w:rPr>
              <w:t xml:space="preserve">Lý do: </w:t>
            </w:r>
            <w:r w:rsidR="00A96E61" w:rsidRPr="00BB7887">
              <w:rPr>
                <w:rFonts w:cs="Times New Roman"/>
                <w:sz w:val="26"/>
                <w:szCs w:val="26"/>
              </w:rPr>
              <w:t>Khoảng thời gian trong vòng 06 tháng kể từ ngày Thông tư có hiệu lực để các tổ chức, cá nhân kịp thời cập nhật các quy định mới và thực hiện công bố thông tin theo đúng quy định.</w:t>
            </w:r>
          </w:p>
        </w:tc>
      </w:tr>
      <w:tr w:rsidR="00BB7887" w:rsidRPr="00BB7887" w14:paraId="74F111B3" w14:textId="77777777" w:rsidTr="0048423B">
        <w:tc>
          <w:tcPr>
            <w:tcW w:w="708" w:type="dxa"/>
            <w:vAlign w:val="center"/>
          </w:tcPr>
          <w:p w14:paraId="4C78348E" w14:textId="77777777" w:rsidR="00D92ADA" w:rsidRPr="00BB7887" w:rsidRDefault="00D92ADA" w:rsidP="00BF7B4D">
            <w:pPr>
              <w:spacing w:before="60" w:after="60" w:line="276" w:lineRule="auto"/>
              <w:jc w:val="center"/>
              <w:rPr>
                <w:rFonts w:cs="Times New Roman"/>
                <w:b/>
                <w:sz w:val="26"/>
                <w:szCs w:val="26"/>
              </w:rPr>
            </w:pPr>
          </w:p>
        </w:tc>
        <w:tc>
          <w:tcPr>
            <w:tcW w:w="8643" w:type="dxa"/>
            <w:vAlign w:val="center"/>
          </w:tcPr>
          <w:p w14:paraId="3A851922" w14:textId="70DFB1D6" w:rsidR="00D92ADA" w:rsidRPr="00BB7887" w:rsidRDefault="00D92ADA" w:rsidP="009F48BB">
            <w:pPr>
              <w:jc w:val="both"/>
              <w:rPr>
                <w:rFonts w:cs="Times New Roman"/>
                <w:sz w:val="26"/>
                <w:szCs w:val="26"/>
              </w:rPr>
            </w:pPr>
            <w:r w:rsidRPr="00BB7887">
              <w:rPr>
                <w:rFonts w:cs="Times New Roman"/>
                <w:sz w:val="26"/>
                <w:szCs w:val="26"/>
              </w:rPr>
              <w:t>Tại Điều 6 (Điều khoản tham chiếu) quy định: Trường hợp các văn bản dẫn chiếu trong Thông tư này được thay thế, sửa đổi, bổ sung thì áp dụng theo các văn bản đã được thay thế, sửa đổi, bổ sung. Đề nghị rà soát, bỏ cụm từ “đã được” nhằm thống nhất quy định áp dụng VBQPPL mới (thay thế, sửa đổi, bổ sung), tránh cách hiểu áp đụng VBQPPL cũ (đã được thay thế, sửa đổi, bổ sung).</w:t>
            </w:r>
          </w:p>
        </w:tc>
        <w:tc>
          <w:tcPr>
            <w:tcW w:w="5246" w:type="dxa"/>
            <w:vAlign w:val="center"/>
          </w:tcPr>
          <w:p w14:paraId="1F21F642" w14:textId="61996ED5" w:rsidR="00D92ADA" w:rsidRPr="00BB7887" w:rsidRDefault="00EF303F" w:rsidP="00610FA6">
            <w:pPr>
              <w:spacing w:before="60" w:after="60"/>
              <w:jc w:val="both"/>
              <w:rPr>
                <w:rFonts w:cs="Times New Roman"/>
                <w:sz w:val="26"/>
                <w:szCs w:val="26"/>
              </w:rPr>
            </w:pPr>
            <w:r w:rsidRPr="00BB7887">
              <w:rPr>
                <w:rFonts w:cs="Times New Roman"/>
                <w:sz w:val="26"/>
                <w:szCs w:val="26"/>
              </w:rPr>
              <w:t>Đã tiếp thu ý kiến</w:t>
            </w:r>
            <w:r w:rsidR="0049565E" w:rsidRPr="00BB7887">
              <w:rPr>
                <w:rFonts w:cs="Times New Roman"/>
                <w:sz w:val="26"/>
                <w:szCs w:val="26"/>
              </w:rPr>
              <w:t xml:space="preserve"> và </w:t>
            </w:r>
            <w:r w:rsidR="00610FA6" w:rsidRPr="00BB7887">
              <w:rPr>
                <w:rFonts w:cs="Times New Roman"/>
                <w:sz w:val="26"/>
                <w:szCs w:val="26"/>
              </w:rPr>
              <w:t xml:space="preserve">lược </w:t>
            </w:r>
            <w:r w:rsidR="0049565E" w:rsidRPr="00BB7887">
              <w:rPr>
                <w:rFonts w:cs="Times New Roman"/>
                <w:sz w:val="26"/>
                <w:szCs w:val="26"/>
              </w:rPr>
              <w:t>bỏ</w:t>
            </w:r>
          </w:p>
        </w:tc>
      </w:tr>
      <w:tr w:rsidR="00BB7887" w:rsidRPr="00BB7887" w14:paraId="7F69CF27" w14:textId="77777777" w:rsidTr="0048423B">
        <w:tc>
          <w:tcPr>
            <w:tcW w:w="708" w:type="dxa"/>
            <w:vAlign w:val="center"/>
          </w:tcPr>
          <w:p w14:paraId="312B5FF9" w14:textId="77777777" w:rsidR="00003119" w:rsidRPr="00BB7887" w:rsidRDefault="00003119" w:rsidP="009F48BB">
            <w:pPr>
              <w:spacing w:before="60" w:after="60" w:line="276" w:lineRule="auto"/>
              <w:rPr>
                <w:rFonts w:cs="Times New Roman"/>
                <w:sz w:val="26"/>
                <w:szCs w:val="26"/>
              </w:rPr>
            </w:pPr>
          </w:p>
        </w:tc>
        <w:tc>
          <w:tcPr>
            <w:tcW w:w="8643" w:type="dxa"/>
            <w:vAlign w:val="center"/>
          </w:tcPr>
          <w:p w14:paraId="6EE957D9" w14:textId="2C41CEB1" w:rsidR="00003119" w:rsidRPr="00BB7887" w:rsidRDefault="00003119" w:rsidP="009F48BB">
            <w:pPr>
              <w:jc w:val="both"/>
              <w:rPr>
                <w:rFonts w:cs="Times New Roman"/>
                <w:sz w:val="26"/>
                <w:szCs w:val="26"/>
              </w:rPr>
            </w:pPr>
            <w:r w:rsidRPr="00BB7887">
              <w:rPr>
                <w:rFonts w:cs="Times New Roman"/>
                <w:sz w:val="26"/>
                <w:szCs w:val="26"/>
              </w:rPr>
              <w:t>Đề nghị rà soát, cân nhắc không quy định tên cơ quan, đơn vị cụ thể của Bộ Y tế thực hiện các nhiệm vụ (ví dụ như tại Điều 7 (Tổ chức thực hiện), Điều 8 (Trách nhiệm thi hành) quy định “Cục Phòng bệnh”), tạo sự chủ động cho Bộ Y tế trong việc điều hành thực hiện nhiệm vụ.</w:t>
            </w:r>
          </w:p>
        </w:tc>
        <w:tc>
          <w:tcPr>
            <w:tcW w:w="5246" w:type="dxa"/>
          </w:tcPr>
          <w:p w14:paraId="08DC1DA4" w14:textId="4B323CE6" w:rsidR="00967F6C" w:rsidRPr="00BB7887" w:rsidRDefault="00EF303F" w:rsidP="00BB7887">
            <w:pPr>
              <w:spacing w:before="60" w:after="60"/>
              <w:jc w:val="both"/>
              <w:rPr>
                <w:rFonts w:cs="Times New Roman"/>
                <w:sz w:val="26"/>
                <w:szCs w:val="26"/>
              </w:rPr>
            </w:pPr>
            <w:r w:rsidRPr="00BB7887">
              <w:rPr>
                <w:rFonts w:cs="Times New Roman"/>
                <w:sz w:val="26"/>
                <w:szCs w:val="26"/>
              </w:rPr>
              <w:t>Đã tiếp thu ý kiến</w:t>
            </w:r>
            <w:r w:rsidR="00AC3E1D" w:rsidRPr="00BB7887">
              <w:rPr>
                <w:rFonts w:cs="Times New Roman"/>
                <w:sz w:val="26"/>
                <w:szCs w:val="26"/>
              </w:rPr>
              <w:t xml:space="preserve"> và chỉnh sửa phù hợp tại Điều 7</w:t>
            </w:r>
            <w:r w:rsidR="00B638F7" w:rsidRPr="00BB7887">
              <w:rPr>
                <w:rFonts w:cs="Times New Roman"/>
                <w:sz w:val="26"/>
                <w:szCs w:val="26"/>
              </w:rPr>
              <w:t xml:space="preserve"> và Điều 8</w:t>
            </w:r>
          </w:p>
        </w:tc>
      </w:tr>
      <w:tr w:rsidR="00BB7887" w:rsidRPr="00BB7887" w14:paraId="53197E88" w14:textId="77777777" w:rsidTr="0048423B">
        <w:tc>
          <w:tcPr>
            <w:tcW w:w="708" w:type="dxa"/>
            <w:vAlign w:val="center"/>
          </w:tcPr>
          <w:p w14:paraId="26B64295" w14:textId="20190959" w:rsidR="00003119" w:rsidRPr="00BB7887" w:rsidRDefault="00003119" w:rsidP="00BF7B4D">
            <w:pPr>
              <w:spacing w:before="60" w:after="60" w:line="276" w:lineRule="auto"/>
              <w:jc w:val="center"/>
              <w:rPr>
                <w:rFonts w:cs="Times New Roman"/>
                <w:b/>
                <w:sz w:val="26"/>
                <w:szCs w:val="26"/>
              </w:rPr>
            </w:pPr>
            <w:r w:rsidRPr="00BB7887">
              <w:rPr>
                <w:rFonts w:cs="Times New Roman"/>
                <w:b/>
                <w:sz w:val="26"/>
                <w:szCs w:val="26"/>
              </w:rPr>
              <w:t>2</w:t>
            </w:r>
          </w:p>
        </w:tc>
        <w:tc>
          <w:tcPr>
            <w:tcW w:w="8643" w:type="dxa"/>
            <w:vAlign w:val="center"/>
          </w:tcPr>
          <w:p w14:paraId="39250DF8" w14:textId="6790E462" w:rsidR="00003119" w:rsidRPr="00BB7887" w:rsidRDefault="00003119" w:rsidP="009F48BB">
            <w:pPr>
              <w:jc w:val="both"/>
              <w:rPr>
                <w:rFonts w:cs="Times New Roman"/>
                <w:b/>
                <w:sz w:val="26"/>
                <w:szCs w:val="26"/>
              </w:rPr>
            </w:pPr>
            <w:r w:rsidRPr="00BB7887">
              <w:rPr>
                <w:rFonts w:cs="Times New Roman"/>
                <w:b/>
                <w:sz w:val="26"/>
                <w:szCs w:val="26"/>
              </w:rPr>
              <w:t>Bộ Văn hóa, thể thao du lịch</w:t>
            </w:r>
          </w:p>
        </w:tc>
        <w:tc>
          <w:tcPr>
            <w:tcW w:w="5246" w:type="dxa"/>
            <w:vAlign w:val="center"/>
          </w:tcPr>
          <w:p w14:paraId="5D95B3A4" w14:textId="77777777" w:rsidR="00003119" w:rsidRPr="00BB7887" w:rsidRDefault="00003119" w:rsidP="009F48BB">
            <w:pPr>
              <w:spacing w:before="60" w:after="60" w:line="276" w:lineRule="auto"/>
              <w:jc w:val="both"/>
              <w:rPr>
                <w:rFonts w:cs="Times New Roman"/>
                <w:sz w:val="26"/>
                <w:szCs w:val="26"/>
              </w:rPr>
            </w:pPr>
          </w:p>
        </w:tc>
      </w:tr>
      <w:tr w:rsidR="0048423B" w:rsidRPr="00BB7887" w14:paraId="557C70E5" w14:textId="77777777" w:rsidTr="0048423B">
        <w:tc>
          <w:tcPr>
            <w:tcW w:w="708" w:type="dxa"/>
            <w:vAlign w:val="center"/>
          </w:tcPr>
          <w:p w14:paraId="6357043A" w14:textId="7612B00B" w:rsidR="0048423B" w:rsidRPr="00BB7887" w:rsidRDefault="0048423B" w:rsidP="00BF7B4D">
            <w:pPr>
              <w:spacing w:before="60" w:after="60" w:line="276" w:lineRule="auto"/>
              <w:jc w:val="center"/>
              <w:rPr>
                <w:rFonts w:cs="Times New Roman"/>
                <w:b/>
                <w:sz w:val="26"/>
                <w:szCs w:val="26"/>
              </w:rPr>
            </w:pPr>
            <w:r>
              <w:rPr>
                <w:rFonts w:cs="Times New Roman"/>
                <w:b/>
                <w:sz w:val="26"/>
                <w:szCs w:val="26"/>
              </w:rPr>
              <w:t>2.1</w:t>
            </w:r>
          </w:p>
        </w:tc>
        <w:tc>
          <w:tcPr>
            <w:tcW w:w="8643" w:type="dxa"/>
            <w:vAlign w:val="center"/>
          </w:tcPr>
          <w:p w14:paraId="1C4A1E62" w14:textId="1833D36B" w:rsidR="0048423B" w:rsidRPr="0048423B" w:rsidRDefault="0048423B" w:rsidP="009F48BB">
            <w:pPr>
              <w:jc w:val="both"/>
              <w:rPr>
                <w:rFonts w:cs="Times New Roman"/>
                <w:b/>
                <w:sz w:val="26"/>
                <w:szCs w:val="26"/>
              </w:rPr>
            </w:pPr>
            <w:r w:rsidRPr="0048423B">
              <w:rPr>
                <w:rFonts w:cs="Times New Roman"/>
                <w:b/>
                <w:sz w:val="26"/>
                <w:szCs w:val="26"/>
              </w:rPr>
              <w:t>Hồ sơ dự thảo Thông tư</w:t>
            </w:r>
          </w:p>
        </w:tc>
        <w:tc>
          <w:tcPr>
            <w:tcW w:w="5246" w:type="dxa"/>
            <w:vAlign w:val="center"/>
          </w:tcPr>
          <w:p w14:paraId="627C4BFF" w14:textId="77777777" w:rsidR="0048423B" w:rsidRPr="00BB7887" w:rsidRDefault="0048423B" w:rsidP="009F48BB">
            <w:pPr>
              <w:spacing w:before="60" w:after="60" w:line="276" w:lineRule="auto"/>
              <w:jc w:val="both"/>
              <w:rPr>
                <w:rFonts w:cs="Times New Roman"/>
                <w:sz w:val="26"/>
                <w:szCs w:val="26"/>
              </w:rPr>
            </w:pPr>
          </w:p>
        </w:tc>
      </w:tr>
      <w:tr w:rsidR="00BB7887" w:rsidRPr="00BB7887" w14:paraId="2CA656F8" w14:textId="77777777" w:rsidTr="0048423B">
        <w:tc>
          <w:tcPr>
            <w:tcW w:w="708" w:type="dxa"/>
            <w:vAlign w:val="center"/>
          </w:tcPr>
          <w:p w14:paraId="0C756E96" w14:textId="77777777" w:rsidR="0049565E" w:rsidRPr="00BB7887" w:rsidRDefault="0049565E" w:rsidP="00BF7B4D">
            <w:pPr>
              <w:spacing w:before="60" w:after="60" w:line="276" w:lineRule="auto"/>
              <w:jc w:val="center"/>
              <w:rPr>
                <w:rFonts w:cs="Times New Roman"/>
                <w:b/>
                <w:sz w:val="26"/>
                <w:szCs w:val="26"/>
              </w:rPr>
            </w:pPr>
          </w:p>
        </w:tc>
        <w:tc>
          <w:tcPr>
            <w:tcW w:w="8643" w:type="dxa"/>
            <w:vAlign w:val="center"/>
          </w:tcPr>
          <w:p w14:paraId="102020F9" w14:textId="07CE80E7" w:rsidR="0049565E" w:rsidRPr="00BB7887" w:rsidRDefault="0049565E" w:rsidP="0048423B">
            <w:pPr>
              <w:jc w:val="both"/>
              <w:rPr>
                <w:rFonts w:cs="Times New Roman"/>
                <w:b/>
                <w:sz w:val="26"/>
                <w:szCs w:val="26"/>
              </w:rPr>
            </w:pPr>
            <w:r w:rsidRPr="00BB7887">
              <w:rPr>
                <w:rFonts w:cs="Times New Roman"/>
                <w:sz w:val="26"/>
                <w:szCs w:val="26"/>
              </w:rPr>
              <w:t>Tiếp tục rà soát, bổ sung, hoàn thiện theo quy định tại Điều 39 Nghị định số 78/2025/NĐ-CP</w:t>
            </w:r>
            <w:r w:rsidR="00BB7887">
              <w:rPr>
                <w:rFonts w:cs="Times New Roman"/>
                <w:sz w:val="26"/>
                <w:szCs w:val="26"/>
              </w:rPr>
              <w:t xml:space="preserve">, </w:t>
            </w:r>
            <w:r w:rsidR="00BB7887" w:rsidRPr="00BB7887">
              <w:rPr>
                <w:rFonts w:cs="Times New Roman"/>
                <w:sz w:val="26"/>
                <w:szCs w:val="26"/>
              </w:rPr>
              <w:t>bổ sung bởi Nghị định số 187/2025/NĐ-CP</w:t>
            </w:r>
            <w:r w:rsidRPr="00BB7887">
              <w:rPr>
                <w:rFonts w:cs="Times New Roman"/>
                <w:sz w:val="26"/>
                <w:szCs w:val="26"/>
              </w:rPr>
              <w:t>: Bổ sung Bản so sánh, thuyết minh dự thảo Thông tư; Cân nhắc sự cần thiết của Báo cáo Tổng kết thi hành Thông tư số 11/2020/TT-BYT ban hành Danh mục hoạt chất cấm sử dụng và hạn chế phạm vi sử dụng trong chế phẩm diệt côn trùng, diệt khuẩn dùng trong lĩnh vực gia dụng và y tế</w:t>
            </w:r>
          </w:p>
        </w:tc>
        <w:tc>
          <w:tcPr>
            <w:tcW w:w="5246" w:type="dxa"/>
          </w:tcPr>
          <w:p w14:paraId="3B9DB7F0" w14:textId="508DFAD2" w:rsidR="0049565E" w:rsidRPr="00BB7887" w:rsidRDefault="00CB659E" w:rsidP="00CB659E">
            <w:pPr>
              <w:spacing w:before="60" w:after="60" w:line="276" w:lineRule="auto"/>
              <w:jc w:val="both"/>
              <w:rPr>
                <w:rFonts w:cs="Times New Roman"/>
                <w:sz w:val="26"/>
                <w:szCs w:val="26"/>
              </w:rPr>
            </w:pPr>
            <w:r w:rsidRPr="00BB7887">
              <w:rPr>
                <w:rFonts w:cs="Times New Roman"/>
                <w:sz w:val="26"/>
                <w:szCs w:val="26"/>
              </w:rPr>
              <w:t>Đã tiếp thu và bổ sung</w:t>
            </w:r>
          </w:p>
        </w:tc>
      </w:tr>
      <w:tr w:rsidR="0048423B" w:rsidRPr="00BB7887" w14:paraId="1504640E" w14:textId="77777777" w:rsidTr="0048423B">
        <w:tc>
          <w:tcPr>
            <w:tcW w:w="708" w:type="dxa"/>
            <w:vAlign w:val="center"/>
          </w:tcPr>
          <w:p w14:paraId="68CBFBE4" w14:textId="7651CCAB" w:rsidR="0048423B" w:rsidRPr="00BB7887" w:rsidRDefault="0048423B" w:rsidP="00BF7B4D">
            <w:pPr>
              <w:spacing w:before="60" w:after="60" w:line="276" w:lineRule="auto"/>
              <w:jc w:val="center"/>
              <w:rPr>
                <w:rFonts w:cs="Times New Roman"/>
                <w:b/>
                <w:sz w:val="26"/>
                <w:szCs w:val="26"/>
              </w:rPr>
            </w:pPr>
            <w:r>
              <w:rPr>
                <w:rFonts w:cs="Times New Roman"/>
                <w:b/>
                <w:sz w:val="26"/>
                <w:szCs w:val="26"/>
              </w:rPr>
              <w:t>2.2</w:t>
            </w:r>
          </w:p>
        </w:tc>
        <w:tc>
          <w:tcPr>
            <w:tcW w:w="8643" w:type="dxa"/>
            <w:vAlign w:val="center"/>
          </w:tcPr>
          <w:p w14:paraId="748B4798" w14:textId="26CCAD08" w:rsidR="0048423B" w:rsidRPr="0048423B" w:rsidRDefault="0048423B" w:rsidP="0048423B">
            <w:pPr>
              <w:jc w:val="both"/>
              <w:rPr>
                <w:rFonts w:cs="Times New Roman"/>
                <w:b/>
                <w:sz w:val="26"/>
                <w:szCs w:val="26"/>
              </w:rPr>
            </w:pPr>
            <w:r w:rsidRPr="0048423B">
              <w:rPr>
                <w:rFonts w:cs="Times New Roman"/>
                <w:b/>
                <w:sz w:val="26"/>
                <w:szCs w:val="26"/>
              </w:rPr>
              <w:t>Dự thảo Tờ trình Bộ trưởng</w:t>
            </w:r>
          </w:p>
        </w:tc>
        <w:tc>
          <w:tcPr>
            <w:tcW w:w="5246" w:type="dxa"/>
          </w:tcPr>
          <w:p w14:paraId="1E469665" w14:textId="77777777" w:rsidR="0048423B" w:rsidRPr="00BB7887" w:rsidRDefault="0048423B" w:rsidP="00CB659E">
            <w:pPr>
              <w:spacing w:before="60" w:after="60" w:line="276" w:lineRule="auto"/>
              <w:jc w:val="both"/>
              <w:rPr>
                <w:rFonts w:cs="Times New Roman"/>
                <w:sz w:val="26"/>
                <w:szCs w:val="26"/>
              </w:rPr>
            </w:pPr>
          </w:p>
        </w:tc>
      </w:tr>
      <w:tr w:rsidR="00BB7887" w:rsidRPr="00BB7887" w14:paraId="4F3BB954" w14:textId="77777777" w:rsidTr="0048423B">
        <w:tc>
          <w:tcPr>
            <w:tcW w:w="708" w:type="dxa"/>
            <w:vAlign w:val="center"/>
          </w:tcPr>
          <w:p w14:paraId="70CA056F" w14:textId="26AA8234" w:rsidR="0049565E" w:rsidRPr="00BB7887" w:rsidRDefault="0049565E" w:rsidP="00BF7B4D">
            <w:pPr>
              <w:spacing w:before="60" w:after="60" w:line="276" w:lineRule="auto"/>
              <w:jc w:val="center"/>
              <w:rPr>
                <w:rFonts w:cs="Times New Roman"/>
                <w:b/>
                <w:sz w:val="26"/>
                <w:szCs w:val="26"/>
              </w:rPr>
            </w:pPr>
          </w:p>
        </w:tc>
        <w:tc>
          <w:tcPr>
            <w:tcW w:w="8643" w:type="dxa"/>
            <w:vAlign w:val="center"/>
          </w:tcPr>
          <w:p w14:paraId="113F6392" w14:textId="71A9489B" w:rsidR="0049565E" w:rsidRPr="00BB7887" w:rsidRDefault="0049565E" w:rsidP="0049565E">
            <w:pPr>
              <w:jc w:val="both"/>
              <w:rPr>
                <w:rFonts w:cs="Times New Roman"/>
                <w:b/>
                <w:sz w:val="26"/>
                <w:szCs w:val="26"/>
              </w:rPr>
            </w:pPr>
            <w:r w:rsidRPr="00BB7887">
              <w:rPr>
                <w:rFonts w:cs="Times New Roman"/>
                <w:sz w:val="26"/>
                <w:szCs w:val="26"/>
              </w:rPr>
              <w:t>Nêu rõ cơ sở chính trị, pháp lý, cơ sở thực tiễn tại mục I (Sự cần thiết ban hành); bỏ mục V (Nguyên tắc xây dựng danh mục) và mục VI (Ý kiến thẩm định của Vụ Pháp chế); Bổ sung nội dung “dự kiến nguồn lực, điều kiện bảo đảm cho việc thi hành văn bản và thời gian trình ban hành</w:t>
            </w:r>
          </w:p>
        </w:tc>
        <w:tc>
          <w:tcPr>
            <w:tcW w:w="5246" w:type="dxa"/>
          </w:tcPr>
          <w:p w14:paraId="47DB9DA6" w14:textId="71DC3330" w:rsidR="0049565E" w:rsidRPr="00BB7887" w:rsidRDefault="00B53C9B" w:rsidP="00CB659E">
            <w:pPr>
              <w:spacing w:before="60" w:after="60" w:line="276" w:lineRule="auto"/>
              <w:rPr>
                <w:rFonts w:cs="Times New Roman"/>
                <w:sz w:val="26"/>
                <w:szCs w:val="26"/>
              </w:rPr>
            </w:pPr>
            <w:r w:rsidRPr="00BB7887">
              <w:rPr>
                <w:rFonts w:cs="Times New Roman"/>
                <w:sz w:val="26"/>
                <w:szCs w:val="26"/>
              </w:rPr>
              <w:t>Đã tiếp thu</w:t>
            </w:r>
            <w:r w:rsidR="00CB659E" w:rsidRPr="00BB7887">
              <w:rPr>
                <w:rFonts w:cs="Times New Roman"/>
                <w:sz w:val="26"/>
                <w:szCs w:val="26"/>
              </w:rPr>
              <w:t xml:space="preserve"> và chỉnh sửa</w:t>
            </w:r>
          </w:p>
        </w:tc>
      </w:tr>
      <w:tr w:rsidR="00BB7887" w:rsidRPr="00BB7887" w14:paraId="24EA52D3" w14:textId="77777777" w:rsidTr="0048423B">
        <w:tc>
          <w:tcPr>
            <w:tcW w:w="708" w:type="dxa"/>
            <w:vAlign w:val="center"/>
          </w:tcPr>
          <w:p w14:paraId="5F7B77BC" w14:textId="51F7190A" w:rsidR="00BB7887" w:rsidRPr="00BB7887" w:rsidRDefault="0048423B" w:rsidP="00BF7B4D">
            <w:pPr>
              <w:spacing w:before="60" w:after="60" w:line="276" w:lineRule="auto"/>
              <w:jc w:val="center"/>
              <w:rPr>
                <w:rFonts w:cs="Times New Roman"/>
                <w:b/>
                <w:sz w:val="26"/>
                <w:szCs w:val="26"/>
              </w:rPr>
            </w:pPr>
            <w:r>
              <w:rPr>
                <w:rFonts w:cs="Times New Roman"/>
                <w:b/>
                <w:sz w:val="26"/>
                <w:szCs w:val="26"/>
              </w:rPr>
              <w:t>2.3</w:t>
            </w:r>
          </w:p>
        </w:tc>
        <w:tc>
          <w:tcPr>
            <w:tcW w:w="8643" w:type="dxa"/>
            <w:vAlign w:val="center"/>
          </w:tcPr>
          <w:p w14:paraId="1EAD4230" w14:textId="6A3ED993" w:rsidR="00BB7887" w:rsidRPr="00BB7887" w:rsidRDefault="00BB7887" w:rsidP="0049565E">
            <w:pPr>
              <w:jc w:val="both"/>
              <w:rPr>
                <w:rFonts w:cs="Times New Roman"/>
                <w:b/>
                <w:sz w:val="26"/>
                <w:szCs w:val="26"/>
              </w:rPr>
            </w:pPr>
            <w:r w:rsidRPr="00BB7887">
              <w:rPr>
                <w:rFonts w:cs="Times New Roman"/>
                <w:b/>
                <w:sz w:val="26"/>
                <w:szCs w:val="26"/>
              </w:rPr>
              <w:t>Dự thảo Thông tư</w:t>
            </w:r>
          </w:p>
        </w:tc>
        <w:tc>
          <w:tcPr>
            <w:tcW w:w="5246" w:type="dxa"/>
          </w:tcPr>
          <w:p w14:paraId="77D0EB93" w14:textId="77777777" w:rsidR="00BB7887" w:rsidRPr="00BB7887" w:rsidRDefault="00BB7887" w:rsidP="00CB659E">
            <w:pPr>
              <w:spacing w:before="60" w:after="60" w:line="276" w:lineRule="auto"/>
              <w:rPr>
                <w:rFonts w:cs="Times New Roman"/>
                <w:sz w:val="26"/>
                <w:szCs w:val="26"/>
              </w:rPr>
            </w:pPr>
          </w:p>
        </w:tc>
      </w:tr>
      <w:tr w:rsidR="0048423B" w:rsidRPr="00BB7887" w14:paraId="2E2D9EF5" w14:textId="77777777" w:rsidTr="0048423B">
        <w:tc>
          <w:tcPr>
            <w:tcW w:w="708" w:type="dxa"/>
            <w:vAlign w:val="center"/>
          </w:tcPr>
          <w:p w14:paraId="083EC777" w14:textId="77777777" w:rsidR="000F272E" w:rsidRPr="00BB7887" w:rsidRDefault="000F272E" w:rsidP="00BF7B4D">
            <w:pPr>
              <w:spacing w:before="60" w:after="60" w:line="276" w:lineRule="auto"/>
              <w:jc w:val="center"/>
              <w:rPr>
                <w:rFonts w:cs="Times New Roman"/>
                <w:b/>
                <w:sz w:val="26"/>
                <w:szCs w:val="26"/>
              </w:rPr>
            </w:pPr>
          </w:p>
        </w:tc>
        <w:tc>
          <w:tcPr>
            <w:tcW w:w="8643" w:type="dxa"/>
            <w:vAlign w:val="center"/>
          </w:tcPr>
          <w:p w14:paraId="6B76DECB" w14:textId="338FBC43" w:rsidR="000F272E" w:rsidRPr="00BB7887" w:rsidRDefault="000F272E" w:rsidP="0049565E">
            <w:pPr>
              <w:jc w:val="both"/>
              <w:rPr>
                <w:rFonts w:cs="Times New Roman"/>
                <w:sz w:val="26"/>
                <w:szCs w:val="26"/>
              </w:rPr>
            </w:pPr>
            <w:r w:rsidRPr="00BB7887">
              <w:rPr>
                <w:rFonts w:cs="Times New Roman"/>
                <w:sz w:val="26"/>
                <w:szCs w:val="26"/>
              </w:rPr>
              <w:t>Tại căn cứ ban hành, đề nghị chỉnh sửa nội dung sau “Căn cứ Luật hóa chất số 69/2025/QH15 ngày 14 tháng 6 năm 2025”.</w:t>
            </w:r>
          </w:p>
        </w:tc>
        <w:tc>
          <w:tcPr>
            <w:tcW w:w="5246" w:type="dxa"/>
          </w:tcPr>
          <w:p w14:paraId="4A4E0549" w14:textId="0AF709D1" w:rsidR="000F272E" w:rsidRPr="00BB7887" w:rsidRDefault="000F272E" w:rsidP="00CB659E">
            <w:pPr>
              <w:spacing w:before="60" w:after="60" w:line="276" w:lineRule="auto"/>
              <w:rPr>
                <w:rFonts w:cs="Times New Roman"/>
                <w:sz w:val="26"/>
                <w:szCs w:val="26"/>
              </w:rPr>
            </w:pPr>
            <w:r w:rsidRPr="00BB7887">
              <w:rPr>
                <w:rFonts w:cs="Times New Roman"/>
                <w:sz w:val="26"/>
                <w:szCs w:val="26"/>
              </w:rPr>
              <w:t>Đã tiếp thu và chỉnh sửa</w:t>
            </w:r>
          </w:p>
        </w:tc>
      </w:tr>
      <w:tr w:rsidR="0048423B" w:rsidRPr="00BB7887" w14:paraId="4FC2EBCB" w14:textId="77777777" w:rsidTr="0048423B">
        <w:tc>
          <w:tcPr>
            <w:tcW w:w="708" w:type="dxa"/>
            <w:vAlign w:val="center"/>
          </w:tcPr>
          <w:p w14:paraId="3DAD6B4D" w14:textId="77777777" w:rsidR="000F272E" w:rsidRPr="00BB7887" w:rsidRDefault="000F272E" w:rsidP="00BF7B4D">
            <w:pPr>
              <w:spacing w:before="60" w:after="60" w:line="276" w:lineRule="auto"/>
              <w:jc w:val="center"/>
              <w:rPr>
                <w:rFonts w:cs="Times New Roman"/>
                <w:b/>
                <w:sz w:val="26"/>
                <w:szCs w:val="26"/>
              </w:rPr>
            </w:pPr>
          </w:p>
        </w:tc>
        <w:tc>
          <w:tcPr>
            <w:tcW w:w="8643" w:type="dxa"/>
            <w:vAlign w:val="center"/>
          </w:tcPr>
          <w:p w14:paraId="40FA4057" w14:textId="74108E01" w:rsidR="000F272E" w:rsidRPr="00BB7887" w:rsidRDefault="000F272E" w:rsidP="000F272E">
            <w:pPr>
              <w:jc w:val="both"/>
              <w:rPr>
                <w:rFonts w:cs="Times New Roman"/>
                <w:sz w:val="26"/>
                <w:szCs w:val="26"/>
              </w:rPr>
            </w:pPr>
            <w:r w:rsidRPr="00BB7887">
              <w:rPr>
                <w:rFonts w:cs="Times New Roman"/>
                <w:sz w:val="26"/>
                <w:szCs w:val="26"/>
              </w:rPr>
              <w:t xml:space="preserve">Tại phạm vi điều chỉnh “Thông tư này quy định chi tiết và hướng dẫn khoản 4 Điều 15 và khoản 2 Điều 31 của Luật Hóa chất, bao gồm Danh mục hóa chất không được sử dụng và Danh mục hóa chất nguy hiểm cần công bố thông tin trong chế phẩm diệt côn trùng, diệt khuẩn dùng trong lĩnh vực gia dụng và y tế (sau đây gọi là chế phẩm)”, đề nghị cơ quan chủ trì soạn thảo rà soát, chỉnh sửa thống nhất với nội dung giao quy định chi tiết của Luật Hóa chất đã nêu tại dự thảo Tờ trình Bộ trưởng. </w:t>
            </w:r>
          </w:p>
        </w:tc>
        <w:tc>
          <w:tcPr>
            <w:tcW w:w="5246" w:type="dxa"/>
          </w:tcPr>
          <w:p w14:paraId="5B831B80" w14:textId="2C56AEC5" w:rsidR="000F272E" w:rsidRPr="00BB7887" w:rsidRDefault="000F272E" w:rsidP="00CB659E">
            <w:pPr>
              <w:spacing w:before="60" w:after="60" w:line="276" w:lineRule="auto"/>
              <w:rPr>
                <w:rFonts w:cs="Times New Roman"/>
                <w:sz w:val="26"/>
                <w:szCs w:val="26"/>
              </w:rPr>
            </w:pPr>
            <w:r w:rsidRPr="00BB7887">
              <w:rPr>
                <w:rFonts w:cs="Times New Roman"/>
                <w:sz w:val="26"/>
                <w:szCs w:val="26"/>
              </w:rPr>
              <w:t>Đã tiếp thu và chỉnh sửa phạm vi điều chỉnh tại Dự thảo Tờ trình Bộ trưởng cho thống nhất với Dự thảo Thông tư</w:t>
            </w:r>
          </w:p>
        </w:tc>
      </w:tr>
      <w:tr w:rsidR="00BB7887" w:rsidRPr="00BB7887" w14:paraId="7F92014F" w14:textId="77777777" w:rsidTr="0048423B">
        <w:tc>
          <w:tcPr>
            <w:tcW w:w="708" w:type="dxa"/>
            <w:vAlign w:val="center"/>
          </w:tcPr>
          <w:p w14:paraId="097F44B3" w14:textId="77777777" w:rsidR="00003119" w:rsidRPr="00BB7887" w:rsidRDefault="00003119" w:rsidP="009F48BB">
            <w:pPr>
              <w:spacing w:before="60" w:after="60" w:line="276" w:lineRule="auto"/>
              <w:rPr>
                <w:rFonts w:cs="Times New Roman"/>
                <w:sz w:val="26"/>
                <w:szCs w:val="26"/>
              </w:rPr>
            </w:pPr>
          </w:p>
        </w:tc>
        <w:tc>
          <w:tcPr>
            <w:tcW w:w="8643" w:type="dxa"/>
            <w:vAlign w:val="center"/>
          </w:tcPr>
          <w:p w14:paraId="727B37A7" w14:textId="4F3F071A" w:rsidR="00003119" w:rsidRPr="00BB7887" w:rsidRDefault="00003119" w:rsidP="000F272E">
            <w:pPr>
              <w:jc w:val="both"/>
              <w:rPr>
                <w:rFonts w:cs="Times New Roman"/>
                <w:sz w:val="26"/>
                <w:szCs w:val="26"/>
              </w:rPr>
            </w:pPr>
            <w:r w:rsidRPr="00BB7887">
              <w:rPr>
                <w:rFonts w:cs="Times New Roman"/>
                <w:sz w:val="26"/>
                <w:szCs w:val="26"/>
              </w:rPr>
              <w:t>Chỉnh sửa thể thức các Phụ lục: Sửa cụm từ “Phụ lục số 01” thành “Phụ lục I", "Phụ lục số 02” thành “Phụ lục II”; trình bày in hoa tên gọi các Phụ lục,...</w:t>
            </w:r>
          </w:p>
        </w:tc>
        <w:tc>
          <w:tcPr>
            <w:tcW w:w="5246" w:type="dxa"/>
          </w:tcPr>
          <w:p w14:paraId="7C12FD72" w14:textId="147B7E85" w:rsidR="00063C7E" w:rsidRPr="00BB7887" w:rsidRDefault="001255E3" w:rsidP="000F272E">
            <w:pPr>
              <w:spacing w:before="60" w:after="60"/>
              <w:jc w:val="both"/>
              <w:rPr>
                <w:rFonts w:cs="Times New Roman"/>
                <w:sz w:val="26"/>
                <w:szCs w:val="26"/>
              </w:rPr>
            </w:pPr>
            <w:r w:rsidRPr="00BB7887">
              <w:rPr>
                <w:rFonts w:cs="Times New Roman"/>
                <w:sz w:val="26"/>
                <w:szCs w:val="26"/>
              </w:rPr>
              <w:t>Đã tiếp thu và chỉnh sử</w:t>
            </w:r>
            <w:r w:rsidR="000F272E" w:rsidRPr="00BB7887">
              <w:rPr>
                <w:rFonts w:cs="Times New Roman"/>
                <w:sz w:val="26"/>
                <w:szCs w:val="26"/>
              </w:rPr>
              <w:t>a</w:t>
            </w:r>
          </w:p>
        </w:tc>
      </w:tr>
      <w:tr w:rsidR="0048423B" w:rsidRPr="00BB7887" w14:paraId="67EEFE16" w14:textId="77777777" w:rsidTr="0048423B">
        <w:tc>
          <w:tcPr>
            <w:tcW w:w="708" w:type="dxa"/>
            <w:vAlign w:val="center"/>
          </w:tcPr>
          <w:p w14:paraId="6D01996C" w14:textId="77777777" w:rsidR="000F272E" w:rsidRPr="00BB7887" w:rsidRDefault="000F272E" w:rsidP="009F48BB">
            <w:pPr>
              <w:spacing w:before="60" w:after="60" w:line="276" w:lineRule="auto"/>
              <w:rPr>
                <w:rFonts w:cs="Times New Roman"/>
                <w:sz w:val="26"/>
                <w:szCs w:val="26"/>
              </w:rPr>
            </w:pPr>
          </w:p>
        </w:tc>
        <w:tc>
          <w:tcPr>
            <w:tcW w:w="8643" w:type="dxa"/>
            <w:vAlign w:val="center"/>
          </w:tcPr>
          <w:p w14:paraId="7167A81C" w14:textId="6F239712" w:rsidR="000F272E" w:rsidRPr="00BB7887" w:rsidRDefault="000F272E" w:rsidP="009F48BB">
            <w:pPr>
              <w:jc w:val="both"/>
              <w:rPr>
                <w:rFonts w:cs="Times New Roman"/>
                <w:sz w:val="26"/>
                <w:szCs w:val="26"/>
              </w:rPr>
            </w:pPr>
            <w:r w:rsidRPr="00BB7887">
              <w:rPr>
                <w:rFonts w:cs="Times New Roman"/>
                <w:sz w:val="26"/>
                <w:szCs w:val="26"/>
              </w:rPr>
              <w:t>Về nội dung chuyên môn thuộc lĩnh vực quản lý, đề nghị cơ quan chủ trì soạn thảo nghiên cứu xây dựng, lấy ý kiến góp ý của các cơ quan, đơn vị liên quan, hoàn thiện và ban hành theo thẩm quyền.</w:t>
            </w:r>
          </w:p>
        </w:tc>
        <w:tc>
          <w:tcPr>
            <w:tcW w:w="5246" w:type="dxa"/>
          </w:tcPr>
          <w:p w14:paraId="30A93F52" w14:textId="2E2AC46E" w:rsidR="000F272E" w:rsidRPr="00BB7887" w:rsidRDefault="000F272E" w:rsidP="000F272E">
            <w:pPr>
              <w:spacing w:before="60" w:after="60"/>
              <w:jc w:val="both"/>
              <w:rPr>
                <w:rFonts w:cs="Times New Roman"/>
                <w:sz w:val="26"/>
                <w:szCs w:val="26"/>
              </w:rPr>
            </w:pPr>
            <w:r w:rsidRPr="00BB7887">
              <w:rPr>
                <w:rFonts w:cs="Times New Roman"/>
                <w:sz w:val="26"/>
                <w:szCs w:val="26"/>
              </w:rPr>
              <w:t>Đã xin ý kiến các cơ quan, đơn vị liên quan và nghiên cứu tiếp thu, chỉnh sửa</w:t>
            </w:r>
          </w:p>
        </w:tc>
      </w:tr>
      <w:tr w:rsidR="00BB7887" w:rsidRPr="00BB7887" w14:paraId="29CCF7AF" w14:textId="77777777" w:rsidTr="0048423B">
        <w:tc>
          <w:tcPr>
            <w:tcW w:w="708" w:type="dxa"/>
            <w:vAlign w:val="center"/>
          </w:tcPr>
          <w:p w14:paraId="20CDA9BE" w14:textId="30081590" w:rsidR="00192BFD" w:rsidRPr="00BB7887" w:rsidRDefault="00192BFD" w:rsidP="009F48BB">
            <w:pPr>
              <w:spacing w:before="60" w:after="60" w:line="276" w:lineRule="auto"/>
              <w:rPr>
                <w:rFonts w:cs="Times New Roman"/>
                <w:b/>
                <w:sz w:val="26"/>
                <w:szCs w:val="26"/>
              </w:rPr>
            </w:pPr>
            <w:r w:rsidRPr="00BB7887">
              <w:rPr>
                <w:rFonts w:cs="Times New Roman"/>
                <w:b/>
                <w:sz w:val="26"/>
                <w:szCs w:val="26"/>
              </w:rPr>
              <w:t xml:space="preserve">   3</w:t>
            </w:r>
          </w:p>
        </w:tc>
        <w:tc>
          <w:tcPr>
            <w:tcW w:w="8643" w:type="dxa"/>
            <w:vAlign w:val="center"/>
          </w:tcPr>
          <w:p w14:paraId="0CF5A7E8" w14:textId="6717D9AF" w:rsidR="00192BFD" w:rsidRPr="00BB7887" w:rsidRDefault="00192BFD" w:rsidP="009F48BB">
            <w:pPr>
              <w:jc w:val="both"/>
              <w:rPr>
                <w:rFonts w:cs="Times New Roman"/>
                <w:b/>
                <w:sz w:val="26"/>
                <w:szCs w:val="26"/>
              </w:rPr>
            </w:pPr>
            <w:r w:rsidRPr="00BB7887">
              <w:rPr>
                <w:rFonts w:cs="Times New Roman"/>
                <w:b/>
                <w:sz w:val="26"/>
                <w:szCs w:val="26"/>
              </w:rPr>
              <w:t>Bộ Quốc phòng</w:t>
            </w:r>
          </w:p>
        </w:tc>
        <w:tc>
          <w:tcPr>
            <w:tcW w:w="5246" w:type="dxa"/>
            <w:vAlign w:val="center"/>
          </w:tcPr>
          <w:p w14:paraId="47372681" w14:textId="77777777" w:rsidR="00192BFD" w:rsidRPr="00BB7887" w:rsidRDefault="00192BFD" w:rsidP="009F48BB">
            <w:pPr>
              <w:spacing w:before="60" w:after="60" w:line="276" w:lineRule="auto"/>
              <w:jc w:val="both"/>
              <w:rPr>
                <w:rFonts w:cs="Times New Roman"/>
                <w:sz w:val="26"/>
                <w:szCs w:val="26"/>
              </w:rPr>
            </w:pPr>
          </w:p>
        </w:tc>
      </w:tr>
      <w:tr w:rsidR="00BB7887" w:rsidRPr="00BB7887" w14:paraId="07CA60C7" w14:textId="77777777" w:rsidTr="0048423B">
        <w:tc>
          <w:tcPr>
            <w:tcW w:w="708" w:type="dxa"/>
            <w:vAlign w:val="center"/>
          </w:tcPr>
          <w:p w14:paraId="3F7AEAD0" w14:textId="77777777" w:rsidR="00192BFD" w:rsidRPr="00BB7887" w:rsidRDefault="00192BFD" w:rsidP="009F48BB">
            <w:pPr>
              <w:spacing w:before="60" w:after="60" w:line="276" w:lineRule="auto"/>
              <w:rPr>
                <w:rFonts w:cs="Times New Roman"/>
                <w:b/>
                <w:sz w:val="26"/>
                <w:szCs w:val="26"/>
              </w:rPr>
            </w:pPr>
          </w:p>
        </w:tc>
        <w:tc>
          <w:tcPr>
            <w:tcW w:w="8643" w:type="dxa"/>
            <w:vAlign w:val="center"/>
          </w:tcPr>
          <w:p w14:paraId="698F03F4" w14:textId="14BEE2EF" w:rsidR="00192BFD" w:rsidRPr="00BB7887" w:rsidRDefault="00192BFD" w:rsidP="009F48BB">
            <w:pPr>
              <w:jc w:val="both"/>
              <w:rPr>
                <w:rFonts w:cs="Times New Roman"/>
                <w:sz w:val="26"/>
                <w:szCs w:val="26"/>
              </w:rPr>
            </w:pPr>
            <w:r w:rsidRPr="00BB7887">
              <w:rPr>
                <w:rFonts w:cs="Times New Roman"/>
                <w:sz w:val="26"/>
                <w:szCs w:val="26"/>
              </w:rPr>
              <w:t>Thống nhất với hồ sơ dự thảo Thông tư</w:t>
            </w:r>
          </w:p>
        </w:tc>
        <w:tc>
          <w:tcPr>
            <w:tcW w:w="5246" w:type="dxa"/>
            <w:vAlign w:val="center"/>
          </w:tcPr>
          <w:p w14:paraId="2E97920A" w14:textId="60B15FF6" w:rsidR="00192BFD" w:rsidRPr="00BB7887" w:rsidRDefault="00192BFD" w:rsidP="009F48BB">
            <w:pPr>
              <w:spacing w:before="60" w:after="60" w:line="276" w:lineRule="auto"/>
              <w:jc w:val="both"/>
              <w:rPr>
                <w:rFonts w:cs="Times New Roman"/>
                <w:sz w:val="26"/>
                <w:szCs w:val="26"/>
              </w:rPr>
            </w:pPr>
          </w:p>
        </w:tc>
      </w:tr>
      <w:tr w:rsidR="00BB7887" w:rsidRPr="00BB7887" w14:paraId="333BA534" w14:textId="77777777" w:rsidTr="0048423B">
        <w:tc>
          <w:tcPr>
            <w:tcW w:w="708" w:type="dxa"/>
            <w:vAlign w:val="center"/>
          </w:tcPr>
          <w:p w14:paraId="64C57ACF" w14:textId="135DE23F" w:rsidR="00242747" w:rsidRPr="00BB7887" w:rsidRDefault="00242747" w:rsidP="00242747">
            <w:pPr>
              <w:spacing w:before="60" w:after="60" w:line="276" w:lineRule="auto"/>
              <w:jc w:val="center"/>
              <w:rPr>
                <w:rFonts w:cs="Times New Roman"/>
                <w:b/>
                <w:sz w:val="26"/>
                <w:szCs w:val="26"/>
              </w:rPr>
            </w:pPr>
            <w:r w:rsidRPr="00BB7887">
              <w:rPr>
                <w:rFonts w:cs="Times New Roman"/>
                <w:b/>
                <w:sz w:val="26"/>
                <w:szCs w:val="26"/>
              </w:rPr>
              <w:t>4</w:t>
            </w:r>
          </w:p>
        </w:tc>
        <w:tc>
          <w:tcPr>
            <w:tcW w:w="8643" w:type="dxa"/>
            <w:vAlign w:val="center"/>
          </w:tcPr>
          <w:p w14:paraId="0705407A" w14:textId="7BD9D8F2" w:rsidR="00242747" w:rsidRPr="00BB7887" w:rsidRDefault="00242747" w:rsidP="009F48BB">
            <w:pPr>
              <w:jc w:val="both"/>
              <w:rPr>
                <w:rFonts w:cs="Times New Roman"/>
                <w:b/>
                <w:sz w:val="26"/>
                <w:szCs w:val="26"/>
              </w:rPr>
            </w:pPr>
            <w:r w:rsidRPr="00BB7887">
              <w:rPr>
                <w:rFonts w:cs="Times New Roman"/>
                <w:b/>
                <w:sz w:val="26"/>
                <w:szCs w:val="26"/>
              </w:rPr>
              <w:t>Bộ Ngoại giao</w:t>
            </w:r>
          </w:p>
        </w:tc>
        <w:tc>
          <w:tcPr>
            <w:tcW w:w="5246" w:type="dxa"/>
            <w:vAlign w:val="center"/>
          </w:tcPr>
          <w:p w14:paraId="6F8743A9" w14:textId="77777777" w:rsidR="00242747" w:rsidRPr="00BB7887" w:rsidRDefault="00242747" w:rsidP="009F48BB">
            <w:pPr>
              <w:spacing w:before="60" w:after="60" w:line="276" w:lineRule="auto"/>
              <w:jc w:val="both"/>
              <w:rPr>
                <w:rFonts w:cs="Times New Roman"/>
                <w:sz w:val="26"/>
                <w:szCs w:val="26"/>
              </w:rPr>
            </w:pPr>
          </w:p>
        </w:tc>
      </w:tr>
      <w:tr w:rsidR="00BB7887" w:rsidRPr="00BB7887" w14:paraId="25CD4ECF" w14:textId="77777777" w:rsidTr="0048423B">
        <w:tc>
          <w:tcPr>
            <w:tcW w:w="708" w:type="dxa"/>
            <w:vAlign w:val="center"/>
          </w:tcPr>
          <w:p w14:paraId="1B7D2DA5" w14:textId="77777777" w:rsidR="001255E3" w:rsidRPr="00BB7887" w:rsidRDefault="001255E3" w:rsidP="00242747">
            <w:pPr>
              <w:spacing w:before="60" w:after="60" w:line="276" w:lineRule="auto"/>
              <w:jc w:val="center"/>
              <w:rPr>
                <w:rFonts w:cs="Times New Roman"/>
                <w:b/>
                <w:sz w:val="26"/>
                <w:szCs w:val="26"/>
              </w:rPr>
            </w:pPr>
          </w:p>
        </w:tc>
        <w:tc>
          <w:tcPr>
            <w:tcW w:w="8643" w:type="dxa"/>
            <w:vAlign w:val="center"/>
          </w:tcPr>
          <w:p w14:paraId="2C4CE3F1" w14:textId="0C179CE4" w:rsidR="001255E3" w:rsidRPr="00BB7887" w:rsidRDefault="001255E3" w:rsidP="001255E3">
            <w:pPr>
              <w:spacing w:line="276" w:lineRule="auto"/>
              <w:jc w:val="both"/>
              <w:rPr>
                <w:rFonts w:cs="Times New Roman"/>
                <w:sz w:val="26"/>
                <w:szCs w:val="26"/>
              </w:rPr>
            </w:pPr>
            <w:r w:rsidRPr="00BB7887">
              <w:rPr>
                <w:rFonts w:cs="Times New Roman"/>
                <w:sz w:val="26"/>
                <w:szCs w:val="26"/>
              </w:rPr>
              <w:t>Để bảo đảm nguyên tắc quy định tại khoản 2 Điều 5 Luật Ban hành văn bản quy phạm pháp luật năm 2025, đề nghị cơ quan soạn thảo tiến hành rà soát các điều ước quốc tế có liên quan mà Việt Nam là thành viên (như RCEP, Công ước Minamata về thuỷ ngân, Công ước Rotterdam về thủ tục thoả thuận thông báo trước đối với một số hoá chất và thuốc bảo vệ thực vật nguy hại trong thương mại quốc tế...) và bảo đảm tính tương thích của dự thảo Thông tư với các điều ước quốc tế này.</w:t>
            </w:r>
          </w:p>
        </w:tc>
        <w:tc>
          <w:tcPr>
            <w:tcW w:w="5246" w:type="dxa"/>
          </w:tcPr>
          <w:p w14:paraId="1CD15597" w14:textId="67D67C5E" w:rsidR="001255E3" w:rsidRPr="00BB7887" w:rsidRDefault="001255E3" w:rsidP="00B57CD4">
            <w:pPr>
              <w:spacing w:before="60" w:after="60" w:line="276" w:lineRule="auto"/>
              <w:jc w:val="both"/>
              <w:rPr>
                <w:rFonts w:cs="Times New Roman"/>
                <w:sz w:val="26"/>
                <w:szCs w:val="26"/>
              </w:rPr>
            </w:pPr>
            <w:r w:rsidRPr="00BB7887">
              <w:rPr>
                <w:rFonts w:cs="Times New Roman"/>
                <w:sz w:val="26"/>
                <w:szCs w:val="26"/>
              </w:rPr>
              <w:t xml:space="preserve">Đã tiếp thu và rà </w:t>
            </w:r>
            <w:r w:rsidR="00B57CD4" w:rsidRPr="00BB7887">
              <w:rPr>
                <w:rFonts w:cs="Times New Roman"/>
                <w:sz w:val="26"/>
                <w:szCs w:val="26"/>
              </w:rPr>
              <w:t>soát</w:t>
            </w:r>
          </w:p>
        </w:tc>
      </w:tr>
      <w:tr w:rsidR="00BB7887" w:rsidRPr="00BB7887" w14:paraId="1B0BAAF5" w14:textId="77777777" w:rsidTr="0048423B">
        <w:tc>
          <w:tcPr>
            <w:tcW w:w="708" w:type="dxa"/>
            <w:vAlign w:val="center"/>
          </w:tcPr>
          <w:p w14:paraId="074E68C4" w14:textId="77777777" w:rsidR="00F51F6D" w:rsidRPr="00BB7887" w:rsidRDefault="00F51F6D" w:rsidP="00242747">
            <w:pPr>
              <w:spacing w:before="60" w:after="60" w:line="276" w:lineRule="auto"/>
              <w:jc w:val="center"/>
              <w:rPr>
                <w:rFonts w:cs="Times New Roman"/>
                <w:b/>
                <w:sz w:val="26"/>
                <w:szCs w:val="26"/>
              </w:rPr>
            </w:pPr>
          </w:p>
        </w:tc>
        <w:tc>
          <w:tcPr>
            <w:tcW w:w="8643" w:type="dxa"/>
          </w:tcPr>
          <w:p w14:paraId="6615EE3C" w14:textId="0F37D0C8" w:rsidR="00F51F6D" w:rsidRPr="00BB7887" w:rsidRDefault="00F51F6D" w:rsidP="002F5A7D">
            <w:pPr>
              <w:spacing w:line="276" w:lineRule="auto"/>
              <w:jc w:val="both"/>
              <w:rPr>
                <w:rFonts w:cs="Times New Roman"/>
                <w:b/>
                <w:sz w:val="26"/>
                <w:szCs w:val="26"/>
              </w:rPr>
            </w:pPr>
            <w:r w:rsidRPr="00BB7887">
              <w:rPr>
                <w:rFonts w:cs="Times New Roman"/>
                <w:sz w:val="26"/>
                <w:szCs w:val="26"/>
              </w:rPr>
              <w:t>Bảo đảm việc lấy ý kiến công khai, rộng rãi đối với dự thảo Thông tư, dự phòng trường hợp các doanh nghiệp, nhất là doanh nghiệp nước ngoài có thể có ý kiến đối với các Danh mục nêu trên.</w:t>
            </w:r>
          </w:p>
        </w:tc>
        <w:tc>
          <w:tcPr>
            <w:tcW w:w="5246" w:type="dxa"/>
          </w:tcPr>
          <w:p w14:paraId="0672BEB7" w14:textId="77777777" w:rsidR="00987FBC" w:rsidRPr="00BB7887" w:rsidRDefault="001255E3" w:rsidP="00987FBC">
            <w:pPr>
              <w:spacing w:before="60" w:after="60"/>
              <w:jc w:val="both"/>
              <w:rPr>
                <w:rFonts w:cs="Times New Roman"/>
                <w:sz w:val="26"/>
                <w:szCs w:val="26"/>
              </w:rPr>
            </w:pPr>
            <w:r w:rsidRPr="00BB7887">
              <w:rPr>
                <w:rFonts w:cs="Times New Roman"/>
                <w:sz w:val="26"/>
                <w:szCs w:val="26"/>
              </w:rPr>
              <w:t>Đã lấy ý kiến công khai, rộng rãi đối với dự thảo Thông tư</w:t>
            </w:r>
            <w:r w:rsidR="00987FBC" w:rsidRPr="00BB7887">
              <w:rPr>
                <w:rFonts w:cs="Times New Roman"/>
                <w:sz w:val="26"/>
                <w:szCs w:val="26"/>
              </w:rPr>
              <w:t xml:space="preserve"> trên trang Cổng thông tin điện tử của Bộ Y tế trong thời gian quy định</w:t>
            </w:r>
          </w:p>
          <w:p w14:paraId="72615520" w14:textId="509AFA4F" w:rsidR="00F51F6D" w:rsidRPr="00BB7887" w:rsidRDefault="00987FBC" w:rsidP="00987FBC">
            <w:pPr>
              <w:spacing w:before="60" w:after="60"/>
              <w:jc w:val="both"/>
              <w:rPr>
                <w:rFonts w:cs="Times New Roman"/>
                <w:sz w:val="26"/>
                <w:szCs w:val="26"/>
              </w:rPr>
            </w:pPr>
            <w:r w:rsidRPr="00BB7887">
              <w:rPr>
                <w:rFonts w:cs="Times New Roman"/>
                <w:sz w:val="26"/>
                <w:szCs w:val="26"/>
              </w:rPr>
              <w:t>Đã xin ý kiến</w:t>
            </w:r>
            <w:r w:rsidR="001255E3" w:rsidRPr="00BB7887">
              <w:rPr>
                <w:rFonts w:cs="Times New Roman"/>
                <w:sz w:val="26"/>
                <w:szCs w:val="26"/>
              </w:rPr>
              <w:t xml:space="preserve"> các</w:t>
            </w:r>
            <w:r w:rsidRPr="00BB7887">
              <w:rPr>
                <w:rFonts w:cs="Times New Roman"/>
                <w:sz w:val="26"/>
                <w:szCs w:val="26"/>
              </w:rPr>
              <w:t xml:space="preserve"> đối tượng chịu tác động của văn bản (</w:t>
            </w:r>
            <w:r w:rsidR="001255E3" w:rsidRPr="00BB7887">
              <w:rPr>
                <w:rFonts w:cs="Times New Roman"/>
                <w:sz w:val="26"/>
                <w:szCs w:val="26"/>
              </w:rPr>
              <w:t>doanh nghiệp sản xuất, kinh doanh hóa chất, chế phẩm diệt côn trùng diệt khuẩn dùng trong lĩnh vực gia dụng và y tế</w:t>
            </w:r>
            <w:r w:rsidRPr="00BB7887">
              <w:rPr>
                <w:rFonts w:cs="Times New Roman"/>
                <w:sz w:val="26"/>
                <w:szCs w:val="26"/>
              </w:rPr>
              <w:t>; VCCI; Văn phòng TBT)</w:t>
            </w:r>
          </w:p>
        </w:tc>
      </w:tr>
      <w:tr w:rsidR="00BB7887" w:rsidRPr="00BB7887" w14:paraId="2A3FBA29" w14:textId="77777777" w:rsidTr="0048423B">
        <w:tc>
          <w:tcPr>
            <w:tcW w:w="708" w:type="dxa"/>
            <w:vAlign w:val="center"/>
          </w:tcPr>
          <w:p w14:paraId="08CB388B" w14:textId="69D58544" w:rsidR="004C0F3C" w:rsidRPr="00BB7887" w:rsidRDefault="004C0F3C" w:rsidP="00242747">
            <w:pPr>
              <w:spacing w:before="60" w:after="60" w:line="276" w:lineRule="auto"/>
              <w:jc w:val="center"/>
              <w:rPr>
                <w:rFonts w:cs="Times New Roman"/>
                <w:b/>
                <w:sz w:val="26"/>
                <w:szCs w:val="26"/>
              </w:rPr>
            </w:pPr>
            <w:r w:rsidRPr="00BB7887">
              <w:rPr>
                <w:rFonts w:cs="Times New Roman"/>
                <w:b/>
                <w:sz w:val="26"/>
                <w:szCs w:val="26"/>
              </w:rPr>
              <w:t>5</w:t>
            </w:r>
          </w:p>
        </w:tc>
        <w:tc>
          <w:tcPr>
            <w:tcW w:w="8643" w:type="dxa"/>
            <w:vAlign w:val="center"/>
          </w:tcPr>
          <w:p w14:paraId="7744EC8F" w14:textId="5FCC7C94" w:rsidR="004C0F3C" w:rsidRPr="00BB7887" w:rsidRDefault="004C0F3C" w:rsidP="006E0496">
            <w:pPr>
              <w:spacing w:line="276" w:lineRule="auto"/>
              <w:jc w:val="both"/>
              <w:rPr>
                <w:rFonts w:cs="Times New Roman"/>
                <w:b/>
                <w:sz w:val="26"/>
                <w:szCs w:val="26"/>
              </w:rPr>
            </w:pPr>
            <w:r w:rsidRPr="00BB7887">
              <w:rPr>
                <w:rFonts w:cs="Times New Roman"/>
                <w:b/>
                <w:sz w:val="26"/>
                <w:szCs w:val="26"/>
              </w:rPr>
              <w:t>Bộ Nông nghiệp và môi trườ</w:t>
            </w:r>
            <w:r w:rsidR="006E0496" w:rsidRPr="00BB7887">
              <w:rPr>
                <w:rFonts w:cs="Times New Roman"/>
                <w:b/>
                <w:sz w:val="26"/>
                <w:szCs w:val="26"/>
              </w:rPr>
              <w:t>ng</w:t>
            </w:r>
          </w:p>
        </w:tc>
        <w:tc>
          <w:tcPr>
            <w:tcW w:w="5246" w:type="dxa"/>
          </w:tcPr>
          <w:p w14:paraId="2A340F67" w14:textId="77777777" w:rsidR="004C0F3C" w:rsidRPr="00BB7887" w:rsidRDefault="004C0F3C" w:rsidP="00383B80">
            <w:pPr>
              <w:tabs>
                <w:tab w:val="left" w:pos="339"/>
              </w:tabs>
              <w:spacing w:before="60" w:after="60"/>
              <w:rPr>
                <w:rFonts w:cs="Times New Roman"/>
                <w:sz w:val="26"/>
                <w:szCs w:val="26"/>
              </w:rPr>
            </w:pPr>
          </w:p>
        </w:tc>
      </w:tr>
      <w:tr w:rsidR="00BB7887" w:rsidRPr="00BB7887" w14:paraId="110D25AE" w14:textId="77777777" w:rsidTr="0048423B">
        <w:trPr>
          <w:trHeight w:val="1278"/>
        </w:trPr>
        <w:tc>
          <w:tcPr>
            <w:tcW w:w="708" w:type="dxa"/>
            <w:vAlign w:val="center"/>
          </w:tcPr>
          <w:p w14:paraId="2D6424AB" w14:textId="77777777" w:rsidR="004C0F3C" w:rsidRPr="00BB7887" w:rsidRDefault="004C0F3C" w:rsidP="00242747">
            <w:pPr>
              <w:spacing w:before="60" w:after="60" w:line="276" w:lineRule="auto"/>
              <w:jc w:val="center"/>
              <w:rPr>
                <w:rFonts w:cs="Times New Roman"/>
                <w:b/>
                <w:sz w:val="26"/>
                <w:szCs w:val="26"/>
              </w:rPr>
            </w:pPr>
          </w:p>
        </w:tc>
        <w:tc>
          <w:tcPr>
            <w:tcW w:w="8643" w:type="dxa"/>
            <w:vAlign w:val="center"/>
          </w:tcPr>
          <w:p w14:paraId="1F43BFCC" w14:textId="77777777" w:rsidR="00BB32A3" w:rsidRPr="00BB7887" w:rsidRDefault="006E0496" w:rsidP="00414C50">
            <w:pPr>
              <w:jc w:val="both"/>
              <w:rPr>
                <w:rFonts w:cs="Times New Roman"/>
                <w:sz w:val="26"/>
                <w:szCs w:val="26"/>
              </w:rPr>
            </w:pPr>
            <w:r w:rsidRPr="00BB7887">
              <w:rPr>
                <w:rFonts w:cs="Times New Roman"/>
                <w:sz w:val="26"/>
                <w:szCs w:val="26"/>
              </w:rPr>
              <w:t xml:space="preserve">Đề nghị nghiên cứu, cân nhắc nhằm bổ sung thêm một số hoá chất nguy hiểm tại dự thảo Thông tư: </w:t>
            </w:r>
          </w:p>
          <w:p w14:paraId="79867A8E" w14:textId="5A4E5693" w:rsidR="00BB32A3" w:rsidRPr="00BB7887" w:rsidRDefault="00BB32A3" w:rsidP="00414C50">
            <w:pPr>
              <w:jc w:val="both"/>
              <w:rPr>
                <w:rFonts w:cs="Times New Roman"/>
                <w:sz w:val="26"/>
                <w:szCs w:val="26"/>
              </w:rPr>
            </w:pPr>
            <w:r w:rsidRPr="00BB7887">
              <w:rPr>
                <w:rFonts w:cs="Times New Roman"/>
                <w:sz w:val="26"/>
                <w:szCs w:val="26"/>
              </w:rPr>
              <w:t xml:space="preserve">- Thiodicarb: </w:t>
            </w:r>
            <w:r w:rsidR="006E0496" w:rsidRPr="00BB7887">
              <w:rPr>
                <w:rFonts w:cs="Times New Roman"/>
                <w:sz w:val="26"/>
                <w:szCs w:val="26"/>
              </w:rPr>
              <w:t xml:space="preserve">Hoá chất này có độc tính cấp độ II (WHO), liên quan đến neurotoxicity. Hoá chất này đã bị cấm ở EU và Ấn Độ vừa xem xét đưa vào danh sách cấm năm 2025 cùng với Carbofuran. Vì vậy, đề nghị bổ sung thêm hoá chất Thiodicarb vào danh sách của Phụ lục số 01 hoặc Phụ lục số 02 (cần ghi chú phạm vi và nồng độ sử dụng). </w:t>
            </w:r>
          </w:p>
          <w:p w14:paraId="75DF8D82" w14:textId="185C6F25" w:rsidR="004C0F3C" w:rsidRPr="00BB7887" w:rsidRDefault="00BB32A3" w:rsidP="00414C50">
            <w:pPr>
              <w:jc w:val="both"/>
              <w:rPr>
                <w:rFonts w:cs="Times New Roman"/>
                <w:sz w:val="26"/>
                <w:szCs w:val="26"/>
              </w:rPr>
            </w:pPr>
            <w:r w:rsidRPr="00BB7887">
              <w:rPr>
                <w:rFonts w:cs="Times New Roman"/>
                <w:sz w:val="26"/>
                <w:szCs w:val="26"/>
              </w:rPr>
              <w:t>-</w:t>
            </w:r>
            <w:r w:rsidR="006E0496" w:rsidRPr="00BB7887">
              <w:rPr>
                <w:rFonts w:cs="Times New Roman"/>
                <w:sz w:val="26"/>
                <w:szCs w:val="26"/>
              </w:rPr>
              <w:t xml:space="preserve"> Chlorpyrifos-methyl: Hoá chất này được EU đưa vào danh mục cấm năm 2020. Trong Dự thảo Thông tư 2026, chlorpyrifos ethyl nằm trong danh mục không được sử dụng do độc tính cao và tồn lưu l</w:t>
            </w:r>
            <w:r w:rsidR="00C60854" w:rsidRPr="00BB7887">
              <w:rPr>
                <w:rFonts w:cs="Times New Roman"/>
                <w:sz w:val="26"/>
                <w:szCs w:val="26"/>
              </w:rPr>
              <w:t>âu dài, trong khi chlorpyrifos-</w:t>
            </w:r>
            <w:r w:rsidR="006E0496" w:rsidRPr="00BB7887">
              <w:rPr>
                <w:rFonts w:cs="Times New Roman"/>
                <w:sz w:val="26"/>
                <w:szCs w:val="26"/>
              </w:rPr>
              <w:t>methyl chỉ ở danh mục cần công bố thông tin. Tuy nhiên, cả hai đều có nguy cơ neurotoxicity tương đương nên khuyến nghị nâng chlorpyrifos-methyl lên danh mục cấm để đồng bộ với EU và bảo vệ sức khỏe cộng đồng, đặc biệt là trẻ em.</w:t>
            </w:r>
          </w:p>
        </w:tc>
        <w:tc>
          <w:tcPr>
            <w:tcW w:w="5246" w:type="dxa"/>
          </w:tcPr>
          <w:p w14:paraId="1C44A8D1" w14:textId="491E4F8E" w:rsidR="004C0F3C" w:rsidRPr="00BB7887" w:rsidRDefault="001255E3" w:rsidP="00A86A2B">
            <w:pPr>
              <w:tabs>
                <w:tab w:val="left" w:pos="339"/>
              </w:tabs>
              <w:spacing w:before="60" w:after="60"/>
              <w:rPr>
                <w:rFonts w:cs="Times New Roman"/>
                <w:sz w:val="26"/>
                <w:szCs w:val="26"/>
              </w:rPr>
            </w:pPr>
            <w:r w:rsidRPr="00BB7887">
              <w:rPr>
                <w:rFonts w:cs="Times New Roman"/>
                <w:sz w:val="26"/>
                <w:szCs w:val="26"/>
              </w:rPr>
              <w:t xml:space="preserve">Đã tiếp thu </w:t>
            </w:r>
            <w:r w:rsidR="00505F67">
              <w:rPr>
                <w:rFonts w:cs="Times New Roman"/>
                <w:sz w:val="26"/>
                <w:szCs w:val="26"/>
              </w:rPr>
              <w:t>và bổ sung 2 hóa chấ</w:t>
            </w:r>
            <w:r w:rsidR="00A86A2B">
              <w:rPr>
                <w:rFonts w:cs="Times New Roman"/>
                <w:sz w:val="26"/>
                <w:szCs w:val="26"/>
              </w:rPr>
              <w:t>t này vào Phụ lục I</w:t>
            </w:r>
          </w:p>
        </w:tc>
      </w:tr>
      <w:tr w:rsidR="00BB7887" w:rsidRPr="00BB7887" w14:paraId="04063B84" w14:textId="77777777" w:rsidTr="0048423B">
        <w:tc>
          <w:tcPr>
            <w:tcW w:w="708" w:type="dxa"/>
            <w:vAlign w:val="center"/>
          </w:tcPr>
          <w:p w14:paraId="63A72E34" w14:textId="77777777" w:rsidR="00486B12" w:rsidRPr="00BB7887" w:rsidRDefault="00486B12" w:rsidP="00242747">
            <w:pPr>
              <w:spacing w:before="60" w:after="60" w:line="276" w:lineRule="auto"/>
              <w:jc w:val="center"/>
              <w:rPr>
                <w:rFonts w:cs="Times New Roman"/>
                <w:b/>
                <w:sz w:val="26"/>
                <w:szCs w:val="26"/>
              </w:rPr>
            </w:pPr>
          </w:p>
        </w:tc>
        <w:tc>
          <w:tcPr>
            <w:tcW w:w="8643" w:type="dxa"/>
            <w:vAlign w:val="center"/>
          </w:tcPr>
          <w:p w14:paraId="637EC0B6" w14:textId="77777777" w:rsidR="00486B12" w:rsidRPr="00BB7887" w:rsidRDefault="006E0496" w:rsidP="00414C50">
            <w:pPr>
              <w:jc w:val="both"/>
              <w:rPr>
                <w:rFonts w:cs="Times New Roman"/>
                <w:sz w:val="26"/>
                <w:szCs w:val="26"/>
              </w:rPr>
            </w:pPr>
            <w:r w:rsidRPr="00BB7887">
              <w:rPr>
                <w:rFonts w:cs="Times New Roman"/>
                <w:sz w:val="26"/>
                <w:szCs w:val="26"/>
              </w:rPr>
              <w:t>Đề nghị rà soát, chỉnh sửa lại một số hoá chất có mã CAS trùng lặp tại Phụ lục 01 kèm theo dự thảo Thông tư:</w:t>
            </w:r>
          </w:p>
          <w:p w14:paraId="1FA47854" w14:textId="6161CB25" w:rsidR="006E0496" w:rsidRPr="00BB7887" w:rsidRDefault="006E0496" w:rsidP="003B51A9">
            <w:pPr>
              <w:jc w:val="both"/>
              <w:rPr>
                <w:rFonts w:cs="Times New Roman"/>
                <w:sz w:val="26"/>
                <w:szCs w:val="26"/>
              </w:rPr>
            </w:pPr>
            <w:r w:rsidRPr="00BB7887">
              <w:rPr>
                <w:rFonts w:cs="Times New Roman"/>
                <w:sz w:val="26"/>
                <w:szCs w:val="26"/>
              </w:rPr>
              <w:t>Benzene hexachloride (BHC) - Hóa chất số 3 và Lindane - Hóa chất số 25, hiện đang có cùng mã CAS 58-89-9. Benzene hexachloride (BHC) và Lindane là cùng một chất, Lindane chính là gamma-HCH, đồng phân gamma của hexachlorocyclohexane, BHC là tên cũ, Lindane là tên thương mại. Đề nghị xóa bỏ "Benzene hexachloride (BHC)” từ danh mục vì nó trùng lặp với Lindane. Hoặc nếu giữ cả hai thì cần có ghi chú rõ ràng.</w:t>
            </w:r>
          </w:p>
        </w:tc>
        <w:tc>
          <w:tcPr>
            <w:tcW w:w="5246" w:type="dxa"/>
          </w:tcPr>
          <w:p w14:paraId="03A8F687" w14:textId="59163F43" w:rsidR="00486B12" w:rsidRPr="00BB7887" w:rsidRDefault="001255E3" w:rsidP="00B756EC">
            <w:pPr>
              <w:tabs>
                <w:tab w:val="left" w:pos="339"/>
              </w:tabs>
              <w:spacing w:before="60" w:after="60"/>
              <w:jc w:val="both"/>
              <w:rPr>
                <w:rFonts w:cs="Times New Roman"/>
                <w:sz w:val="26"/>
                <w:szCs w:val="26"/>
              </w:rPr>
            </w:pPr>
            <w:r w:rsidRPr="00BB7887">
              <w:rPr>
                <w:rFonts w:cs="Times New Roman"/>
                <w:sz w:val="26"/>
                <w:szCs w:val="26"/>
              </w:rPr>
              <w:t xml:space="preserve">Đã tiếp thu ý kiến và </w:t>
            </w:r>
            <w:r w:rsidR="00930176" w:rsidRPr="00BB7887">
              <w:rPr>
                <w:rFonts w:cs="Times New Roman"/>
                <w:sz w:val="26"/>
                <w:szCs w:val="26"/>
              </w:rPr>
              <w:t>bổ sung ghi chú tại Phụ lục I</w:t>
            </w:r>
          </w:p>
        </w:tc>
      </w:tr>
      <w:tr w:rsidR="00BB7887" w:rsidRPr="00BB7887" w14:paraId="755F090C" w14:textId="77777777" w:rsidTr="0048423B">
        <w:tc>
          <w:tcPr>
            <w:tcW w:w="708" w:type="dxa"/>
            <w:vAlign w:val="center"/>
          </w:tcPr>
          <w:p w14:paraId="6DF3082F" w14:textId="77777777" w:rsidR="003B51A9" w:rsidRPr="00BB7887" w:rsidRDefault="003B51A9" w:rsidP="00242747">
            <w:pPr>
              <w:spacing w:before="60" w:after="60" w:line="276" w:lineRule="auto"/>
              <w:jc w:val="center"/>
              <w:rPr>
                <w:rFonts w:cs="Times New Roman"/>
                <w:b/>
                <w:sz w:val="26"/>
                <w:szCs w:val="26"/>
              </w:rPr>
            </w:pPr>
          </w:p>
        </w:tc>
        <w:tc>
          <w:tcPr>
            <w:tcW w:w="8643" w:type="dxa"/>
            <w:vAlign w:val="center"/>
          </w:tcPr>
          <w:p w14:paraId="1F8DEEC8" w14:textId="6C0C1DB5" w:rsidR="003B51A9" w:rsidRPr="00BB7887" w:rsidRDefault="003B51A9" w:rsidP="00414C50">
            <w:pPr>
              <w:jc w:val="both"/>
              <w:rPr>
                <w:rFonts w:cs="Times New Roman"/>
                <w:sz w:val="26"/>
                <w:szCs w:val="26"/>
              </w:rPr>
            </w:pPr>
            <w:r w:rsidRPr="00BB7887">
              <w:rPr>
                <w:rFonts w:cs="Times New Roman"/>
                <w:sz w:val="26"/>
                <w:szCs w:val="26"/>
              </w:rPr>
              <w:t>Beta-cyfluthrin - Hóa chất số 4 và Cyfluthrin - Hóa chất số 8, có cùng mã CAS 68359-37-5.</w:t>
            </w:r>
          </w:p>
        </w:tc>
        <w:tc>
          <w:tcPr>
            <w:tcW w:w="5246" w:type="dxa"/>
          </w:tcPr>
          <w:p w14:paraId="230E444D" w14:textId="5DA7EF70" w:rsidR="00B756EC" w:rsidRPr="00BB7887" w:rsidRDefault="00B756EC" w:rsidP="00B756EC">
            <w:pPr>
              <w:tabs>
                <w:tab w:val="left" w:pos="339"/>
              </w:tabs>
              <w:spacing w:before="60" w:after="60"/>
              <w:jc w:val="both"/>
              <w:rPr>
                <w:rFonts w:cs="Times New Roman"/>
                <w:sz w:val="26"/>
                <w:szCs w:val="26"/>
              </w:rPr>
            </w:pPr>
            <w:r w:rsidRPr="00BB7887">
              <w:rPr>
                <w:rFonts w:cs="Times New Roman"/>
                <w:sz w:val="26"/>
                <w:szCs w:val="26"/>
              </w:rPr>
              <w:t>Đã rà soát và chỉnh sửa mã số CAS của Beta-cyfluthrin thành “1820573-27-0”</w:t>
            </w:r>
          </w:p>
        </w:tc>
      </w:tr>
      <w:tr w:rsidR="00BB7887" w:rsidRPr="00BB7887" w14:paraId="57DBC7A7" w14:textId="77777777" w:rsidTr="0048423B">
        <w:tc>
          <w:tcPr>
            <w:tcW w:w="708" w:type="dxa"/>
            <w:vAlign w:val="center"/>
          </w:tcPr>
          <w:p w14:paraId="04A41422" w14:textId="25872D28" w:rsidR="003F3241" w:rsidRPr="00BB7887" w:rsidRDefault="003F3241" w:rsidP="00242747">
            <w:pPr>
              <w:spacing w:before="60" w:after="60" w:line="276" w:lineRule="auto"/>
              <w:jc w:val="center"/>
              <w:rPr>
                <w:rFonts w:cs="Times New Roman"/>
                <w:b/>
                <w:sz w:val="26"/>
                <w:szCs w:val="26"/>
              </w:rPr>
            </w:pPr>
            <w:r w:rsidRPr="00BB7887">
              <w:rPr>
                <w:rFonts w:cs="Times New Roman"/>
                <w:b/>
                <w:sz w:val="26"/>
                <w:szCs w:val="26"/>
              </w:rPr>
              <w:t>6</w:t>
            </w:r>
          </w:p>
        </w:tc>
        <w:tc>
          <w:tcPr>
            <w:tcW w:w="8643" w:type="dxa"/>
            <w:vAlign w:val="center"/>
          </w:tcPr>
          <w:p w14:paraId="25A50ACF" w14:textId="3556BCF9" w:rsidR="003F3241" w:rsidRPr="00BB7887" w:rsidRDefault="003F3241" w:rsidP="003D67BB">
            <w:pPr>
              <w:spacing w:after="120" w:line="360" w:lineRule="exact"/>
              <w:ind w:right="142"/>
              <w:jc w:val="both"/>
              <w:rPr>
                <w:rFonts w:cs="Times New Roman"/>
                <w:b/>
                <w:sz w:val="26"/>
                <w:szCs w:val="26"/>
              </w:rPr>
            </w:pPr>
            <w:r w:rsidRPr="00BB7887">
              <w:rPr>
                <w:rFonts w:cs="Times New Roman"/>
                <w:b/>
                <w:sz w:val="26"/>
                <w:szCs w:val="26"/>
              </w:rPr>
              <w:t>Bộ Công thương</w:t>
            </w:r>
          </w:p>
        </w:tc>
        <w:tc>
          <w:tcPr>
            <w:tcW w:w="5246" w:type="dxa"/>
          </w:tcPr>
          <w:p w14:paraId="479C725A" w14:textId="77777777" w:rsidR="003F3241" w:rsidRPr="00BB7887" w:rsidRDefault="003F3241" w:rsidP="00383B80">
            <w:pPr>
              <w:tabs>
                <w:tab w:val="left" w:pos="339"/>
              </w:tabs>
              <w:spacing w:before="60" w:after="60"/>
              <w:rPr>
                <w:rFonts w:cs="Times New Roman"/>
                <w:sz w:val="26"/>
                <w:szCs w:val="26"/>
              </w:rPr>
            </w:pPr>
          </w:p>
        </w:tc>
      </w:tr>
      <w:tr w:rsidR="00BB7887" w:rsidRPr="00BB7887" w14:paraId="1411F79A" w14:textId="77777777" w:rsidTr="0048423B">
        <w:tc>
          <w:tcPr>
            <w:tcW w:w="708" w:type="dxa"/>
            <w:vAlign w:val="center"/>
          </w:tcPr>
          <w:p w14:paraId="5A40A50D" w14:textId="77777777" w:rsidR="003F3241" w:rsidRPr="00BB7887" w:rsidRDefault="003F3241" w:rsidP="00242747">
            <w:pPr>
              <w:spacing w:before="60" w:after="60" w:line="276" w:lineRule="auto"/>
              <w:jc w:val="center"/>
              <w:rPr>
                <w:rFonts w:cs="Times New Roman"/>
                <w:b/>
                <w:sz w:val="26"/>
                <w:szCs w:val="26"/>
              </w:rPr>
            </w:pPr>
          </w:p>
        </w:tc>
        <w:tc>
          <w:tcPr>
            <w:tcW w:w="8643" w:type="dxa"/>
            <w:vAlign w:val="center"/>
          </w:tcPr>
          <w:p w14:paraId="7D08D1B7" w14:textId="7442067E" w:rsidR="003F3241" w:rsidRPr="00BB7887" w:rsidRDefault="00C14FE7" w:rsidP="004C0F3C">
            <w:pPr>
              <w:spacing w:after="120" w:line="360" w:lineRule="exact"/>
              <w:ind w:right="142"/>
              <w:jc w:val="both"/>
              <w:rPr>
                <w:rFonts w:cs="Times New Roman"/>
                <w:b/>
                <w:sz w:val="26"/>
                <w:szCs w:val="26"/>
              </w:rPr>
            </w:pPr>
            <w:r w:rsidRPr="00BB7887">
              <w:rPr>
                <w:rFonts w:cs="Times New Roman"/>
                <w:sz w:val="26"/>
                <w:szCs w:val="26"/>
              </w:rPr>
              <w:t>Đối với dự thảo Thông tư, Bộ Công Thương không có ý kiến góp ý về Danh mục hóa chất không được sử dụng và Danh mục hóa chất nguy hiểm cần công bố thông tin trong chế phẩm diệt côn trùng, diệt khuẩn dùng trong lĩnh vực gia dụng và y tế</w:t>
            </w:r>
          </w:p>
        </w:tc>
        <w:tc>
          <w:tcPr>
            <w:tcW w:w="5246" w:type="dxa"/>
          </w:tcPr>
          <w:p w14:paraId="56624C32" w14:textId="3C314B41" w:rsidR="003F3241" w:rsidRPr="00BB7887" w:rsidRDefault="003F3241" w:rsidP="001255E3">
            <w:pPr>
              <w:tabs>
                <w:tab w:val="left" w:pos="339"/>
              </w:tabs>
              <w:spacing w:before="60" w:after="60"/>
              <w:rPr>
                <w:rFonts w:cs="Times New Roman"/>
                <w:sz w:val="26"/>
                <w:szCs w:val="26"/>
              </w:rPr>
            </w:pPr>
          </w:p>
        </w:tc>
      </w:tr>
      <w:tr w:rsidR="00BB7887" w:rsidRPr="00BB7887" w14:paraId="4D8FC432" w14:textId="77777777" w:rsidTr="003D7063">
        <w:trPr>
          <w:trHeight w:val="4794"/>
        </w:trPr>
        <w:tc>
          <w:tcPr>
            <w:tcW w:w="708" w:type="dxa"/>
            <w:vAlign w:val="center"/>
          </w:tcPr>
          <w:p w14:paraId="5F0EFE00" w14:textId="77777777" w:rsidR="00C14FE7" w:rsidRPr="00BB7887" w:rsidRDefault="00C14FE7" w:rsidP="00242747">
            <w:pPr>
              <w:spacing w:before="60" w:after="60" w:line="276" w:lineRule="auto"/>
              <w:jc w:val="center"/>
              <w:rPr>
                <w:rFonts w:cs="Times New Roman"/>
                <w:b/>
                <w:sz w:val="26"/>
                <w:szCs w:val="26"/>
              </w:rPr>
            </w:pPr>
          </w:p>
        </w:tc>
        <w:tc>
          <w:tcPr>
            <w:tcW w:w="8643" w:type="dxa"/>
          </w:tcPr>
          <w:p w14:paraId="5D331E1D" w14:textId="4D46FD81" w:rsidR="00C14FE7" w:rsidRPr="00BB7887" w:rsidRDefault="00C14FE7" w:rsidP="00A86A2B">
            <w:pPr>
              <w:spacing w:after="120" w:line="360" w:lineRule="exact"/>
              <w:ind w:right="142"/>
              <w:jc w:val="both"/>
              <w:rPr>
                <w:rFonts w:cs="Times New Roman"/>
                <w:sz w:val="26"/>
                <w:szCs w:val="26"/>
              </w:rPr>
            </w:pPr>
            <w:r w:rsidRPr="00BB7887">
              <w:rPr>
                <w:rFonts w:cs="Times New Roman"/>
                <w:sz w:val="26"/>
                <w:szCs w:val="26"/>
              </w:rPr>
              <w:t>Theo Quyết định số 1837/QĐ-TTg ngày 26 tháng 8 năm 2025 của Thủ tướng Chính phủ về việc ban hành Kế hoạch triển khai thi hành Luật Hóa chất, trong đó giao các Bộ, cơ quan ngang Bộ quy định chi tiết và hướng dẫn thi hành một số điều của Luật Hóa chất, cụ thể: “</w:t>
            </w:r>
            <w:r w:rsidRPr="00BB7887">
              <w:rPr>
                <w:rFonts w:cs="Times New Roman"/>
                <w:i/>
                <w:iCs/>
                <w:sz w:val="26"/>
                <w:szCs w:val="26"/>
              </w:rPr>
              <w:t>Thông tư của Bộ trưởng, thủ trưởng cơ quan ngang Bộ quy định chi tiết và hướng dẫn thi hành một số điều của Luật Hóa chất (điểm d khoản 3 Điều 9, khoản 4 Điều 15, khoản 2 Điều 31)</w:t>
            </w:r>
            <w:r w:rsidRPr="00BB7887">
              <w:rPr>
                <w:rFonts w:cs="Times New Roman"/>
                <w:sz w:val="26"/>
                <w:szCs w:val="26"/>
              </w:rPr>
              <w:t>”. Tại dự thảo Thông tư của Bộ Y tế đã quy định chi tiết và hướng dẫn thi hành khoản 4 Điều 15 và khoản 2 Điều 31 của Luật Hóa chất, đề nghị Bộ Y tế sớm ban hành Thông tư hướng dẫn đối với quy định tại điểm d khoản 3 Điều 9 Luật Hóa chất theo Quyết định số 1837/QĐ-TTg.</w:t>
            </w:r>
          </w:p>
        </w:tc>
        <w:tc>
          <w:tcPr>
            <w:tcW w:w="5246" w:type="dxa"/>
          </w:tcPr>
          <w:p w14:paraId="06FF65D1" w14:textId="51EF687B" w:rsidR="00194966" w:rsidRPr="00BB7887" w:rsidRDefault="00194966" w:rsidP="00194966">
            <w:pPr>
              <w:pBdr>
                <w:top w:val="dotted" w:sz="4" w:space="0" w:color="FFFFFF"/>
                <w:left w:val="dotted" w:sz="4" w:space="0" w:color="FFFFFF"/>
                <w:bottom w:val="dotted" w:sz="4" w:space="15" w:color="FFFFFF"/>
                <w:right w:val="dotted" w:sz="4" w:space="0" w:color="FFFFFF"/>
              </w:pBdr>
              <w:tabs>
                <w:tab w:val="left" w:pos="709"/>
              </w:tabs>
              <w:spacing w:before="80" w:after="60"/>
              <w:jc w:val="both"/>
              <w:rPr>
                <w:rFonts w:cs="Times New Roman"/>
                <w:sz w:val="26"/>
                <w:szCs w:val="26"/>
              </w:rPr>
            </w:pPr>
            <w:r w:rsidRPr="00BB7887">
              <w:rPr>
                <w:rFonts w:cs="Times New Roman"/>
                <w:sz w:val="26"/>
                <w:szCs w:val="26"/>
              </w:rPr>
              <w:t xml:space="preserve">Về phạm vi điều chỉnh của Thông tư: quy định chi tiết và hướng dẫn thi hành một số điều của Luật Hóa chất (khoản 4 Điều 15, khoản 2 Điều 31) về quản lý hóa chất, </w:t>
            </w:r>
            <w:r w:rsidRPr="00BB7887">
              <w:rPr>
                <w:rFonts w:cs="Times New Roman"/>
                <w:bCs/>
                <w:sz w:val="26"/>
                <w:szCs w:val="26"/>
              </w:rPr>
              <w:t>chế phẩm diệt côn trùng, diệt khuẩn dùng trong lĩnh vực gia dụng và y tế.</w:t>
            </w:r>
          </w:p>
          <w:p w14:paraId="0D172FC1" w14:textId="1DE9F62A" w:rsidR="00C14FE7" w:rsidRPr="00BB7887" w:rsidRDefault="00194966" w:rsidP="00194966">
            <w:pPr>
              <w:pBdr>
                <w:top w:val="dotted" w:sz="4" w:space="0" w:color="FFFFFF"/>
                <w:left w:val="dotted" w:sz="4" w:space="0" w:color="FFFFFF"/>
                <w:bottom w:val="dotted" w:sz="4" w:space="15" w:color="FFFFFF"/>
                <w:right w:val="dotted" w:sz="4" w:space="0" w:color="FFFFFF"/>
              </w:pBdr>
              <w:tabs>
                <w:tab w:val="left" w:pos="709"/>
              </w:tabs>
              <w:spacing w:before="80" w:after="60"/>
              <w:jc w:val="both"/>
              <w:rPr>
                <w:rFonts w:cs="Times New Roman"/>
                <w:sz w:val="26"/>
                <w:szCs w:val="26"/>
              </w:rPr>
            </w:pPr>
            <w:r w:rsidRPr="00BB7887">
              <w:rPr>
                <w:rStyle w:val="fontstyle01"/>
                <w:rFonts w:ascii="Times New Roman" w:hAnsi="Times New Roman" w:cs="Times New Roman"/>
                <w:color w:val="auto"/>
              </w:rPr>
              <w:t>Riêng đối với việc quy định về “Tổ chức sản xuất, nhập khẩu, sử dụng, tồn trữ hóa chất cấm phải lập sổ theo dõi; quản lý nghiêm ngặt số lượng, bảo đảm không để xảy ra thất thoát, sự cố hóa chất” tại điểm đ khoản 3 Điều 9, Luật hóa chất: Bộ Y tế không quy định nội dung này do Bộ Y tế đã ban hành Danh mục hoạt chất cấm sử dụng trong chế phẩm diệt côn trùng, diệt khuẩn dùng trong lĩnh vực gia dụng và y tế tại Thông tư số 11/2022/TT-BYT ngày 19/6/2020.</w:t>
            </w:r>
          </w:p>
        </w:tc>
      </w:tr>
      <w:tr w:rsidR="00BB7887" w:rsidRPr="00BB7887" w14:paraId="67B87412" w14:textId="77777777" w:rsidTr="0048423B">
        <w:tc>
          <w:tcPr>
            <w:tcW w:w="708" w:type="dxa"/>
            <w:vAlign w:val="center"/>
          </w:tcPr>
          <w:p w14:paraId="1481D420" w14:textId="2A49D578" w:rsidR="00EF303F" w:rsidRPr="00BB7887" w:rsidRDefault="00EF303F" w:rsidP="00242747">
            <w:pPr>
              <w:spacing w:before="60" w:after="60" w:line="276" w:lineRule="auto"/>
              <w:jc w:val="center"/>
              <w:rPr>
                <w:rFonts w:cs="Times New Roman"/>
                <w:b/>
                <w:sz w:val="26"/>
                <w:szCs w:val="26"/>
              </w:rPr>
            </w:pPr>
            <w:r w:rsidRPr="00BB7887">
              <w:rPr>
                <w:rFonts w:cs="Times New Roman"/>
                <w:b/>
                <w:sz w:val="26"/>
                <w:szCs w:val="26"/>
              </w:rPr>
              <w:t>7</w:t>
            </w:r>
          </w:p>
        </w:tc>
        <w:tc>
          <w:tcPr>
            <w:tcW w:w="8643" w:type="dxa"/>
            <w:vAlign w:val="center"/>
          </w:tcPr>
          <w:p w14:paraId="53B38CD7" w14:textId="7C68D737" w:rsidR="00EF303F" w:rsidRPr="00BB7887" w:rsidRDefault="00EF303F" w:rsidP="004C0F3C">
            <w:pPr>
              <w:spacing w:after="120" w:line="360" w:lineRule="exact"/>
              <w:ind w:right="142"/>
              <w:jc w:val="both"/>
              <w:rPr>
                <w:rFonts w:cs="Times New Roman"/>
                <w:b/>
                <w:spacing w:val="3"/>
                <w:sz w:val="26"/>
                <w:szCs w:val="26"/>
                <w:shd w:val="clear" w:color="auto" w:fill="FFFFFF"/>
              </w:rPr>
            </w:pPr>
            <w:r w:rsidRPr="00BB7887">
              <w:rPr>
                <w:rFonts w:cs="Times New Roman"/>
                <w:b/>
                <w:spacing w:val="3"/>
                <w:sz w:val="26"/>
                <w:szCs w:val="26"/>
                <w:shd w:val="clear" w:color="auto" w:fill="FFFFFF"/>
              </w:rPr>
              <w:t>Bộ Tư pháp</w:t>
            </w:r>
          </w:p>
        </w:tc>
        <w:tc>
          <w:tcPr>
            <w:tcW w:w="5246" w:type="dxa"/>
          </w:tcPr>
          <w:p w14:paraId="2A2EFD4E" w14:textId="77777777" w:rsidR="00EF303F" w:rsidRPr="00BB7887" w:rsidRDefault="00EF303F" w:rsidP="00383B80">
            <w:pPr>
              <w:tabs>
                <w:tab w:val="left" w:pos="339"/>
              </w:tabs>
              <w:spacing w:before="60" w:after="60"/>
              <w:rPr>
                <w:rFonts w:cs="Times New Roman"/>
                <w:sz w:val="26"/>
                <w:szCs w:val="26"/>
              </w:rPr>
            </w:pPr>
          </w:p>
        </w:tc>
      </w:tr>
      <w:tr w:rsidR="00BB7887" w:rsidRPr="00BB7887" w14:paraId="7A9A44A8" w14:textId="77777777" w:rsidTr="0048423B">
        <w:tc>
          <w:tcPr>
            <w:tcW w:w="708" w:type="dxa"/>
            <w:vAlign w:val="center"/>
          </w:tcPr>
          <w:p w14:paraId="0ACD86E8" w14:textId="77777777" w:rsidR="00EF303F" w:rsidRPr="00BB7887" w:rsidRDefault="00EF303F" w:rsidP="00242747">
            <w:pPr>
              <w:spacing w:before="60" w:after="60" w:line="276" w:lineRule="auto"/>
              <w:jc w:val="center"/>
              <w:rPr>
                <w:rFonts w:cs="Times New Roman"/>
                <w:b/>
                <w:sz w:val="26"/>
                <w:szCs w:val="26"/>
              </w:rPr>
            </w:pPr>
          </w:p>
        </w:tc>
        <w:tc>
          <w:tcPr>
            <w:tcW w:w="8643" w:type="dxa"/>
            <w:vAlign w:val="center"/>
          </w:tcPr>
          <w:p w14:paraId="09BD1D38" w14:textId="051F0708" w:rsidR="00EF303F" w:rsidRPr="00BB7887" w:rsidRDefault="00EF303F" w:rsidP="00EF303F">
            <w:pPr>
              <w:spacing w:after="120" w:line="360" w:lineRule="exact"/>
              <w:ind w:right="142"/>
              <w:jc w:val="both"/>
              <w:rPr>
                <w:rFonts w:cs="Times New Roman"/>
                <w:spacing w:val="3"/>
                <w:sz w:val="26"/>
                <w:szCs w:val="26"/>
                <w:shd w:val="clear" w:color="auto" w:fill="FFFFFF"/>
              </w:rPr>
            </w:pPr>
            <w:r w:rsidRPr="00BB7887">
              <w:rPr>
                <w:rFonts w:cs="Times New Roman"/>
                <w:sz w:val="26"/>
                <w:szCs w:val="26"/>
              </w:rPr>
              <w:t>Hóa chất sử dụng trong chế phẩm diệt côn trùng, diệt khuẩn dùng trong gia dụng và y tế thuộc phạm vi quản lý của Bộ Y tế thì việc Bộ Y tế xây dựng Thông tư ban hành Danh mục hóa chất không được sử dụng và Danh mục hóa chất nguy hiểm cần công bố thông tin lĩnh vực quản lý nhà nước của Bộ Y tế là có cơ sở và đúng nhiệm vụ được giao.</w:t>
            </w:r>
          </w:p>
        </w:tc>
        <w:tc>
          <w:tcPr>
            <w:tcW w:w="5246" w:type="dxa"/>
          </w:tcPr>
          <w:p w14:paraId="3716A3E4" w14:textId="031F63C3" w:rsidR="00EF303F" w:rsidRPr="00BB7887" w:rsidRDefault="00EF303F" w:rsidP="00383B80">
            <w:pPr>
              <w:tabs>
                <w:tab w:val="left" w:pos="339"/>
              </w:tabs>
              <w:spacing w:before="60" w:after="60"/>
              <w:rPr>
                <w:rFonts w:cs="Times New Roman"/>
                <w:sz w:val="26"/>
                <w:szCs w:val="26"/>
              </w:rPr>
            </w:pPr>
          </w:p>
        </w:tc>
      </w:tr>
      <w:tr w:rsidR="00BB7887" w:rsidRPr="00BB7887" w14:paraId="226564BB" w14:textId="77777777" w:rsidTr="0048423B">
        <w:tc>
          <w:tcPr>
            <w:tcW w:w="708" w:type="dxa"/>
            <w:vAlign w:val="center"/>
          </w:tcPr>
          <w:p w14:paraId="66BA3584" w14:textId="77777777" w:rsidR="00EF303F" w:rsidRPr="00BB7887" w:rsidRDefault="00EF303F" w:rsidP="00242747">
            <w:pPr>
              <w:spacing w:before="60" w:after="60" w:line="276" w:lineRule="auto"/>
              <w:jc w:val="center"/>
              <w:rPr>
                <w:rFonts w:cs="Times New Roman"/>
                <w:b/>
                <w:sz w:val="26"/>
                <w:szCs w:val="26"/>
              </w:rPr>
            </w:pPr>
          </w:p>
        </w:tc>
        <w:tc>
          <w:tcPr>
            <w:tcW w:w="8643" w:type="dxa"/>
            <w:vAlign w:val="center"/>
          </w:tcPr>
          <w:p w14:paraId="10A3FFF1" w14:textId="2F2F3D93" w:rsidR="00EF303F" w:rsidRPr="00BB7887" w:rsidRDefault="00EF303F" w:rsidP="00EF303F">
            <w:pPr>
              <w:spacing w:after="120" w:line="360" w:lineRule="exact"/>
              <w:ind w:right="142"/>
              <w:jc w:val="both"/>
              <w:rPr>
                <w:rFonts w:cs="Times New Roman"/>
                <w:sz w:val="26"/>
                <w:szCs w:val="26"/>
              </w:rPr>
            </w:pPr>
            <w:r w:rsidRPr="00BB7887">
              <w:rPr>
                <w:rFonts w:cs="Times New Roman"/>
                <w:sz w:val="26"/>
                <w:szCs w:val="26"/>
              </w:rPr>
              <w:t xml:space="preserve">Dự thảo Thông tư ban hành Danh mục hóa chất không được sử dụng và Danh mục hóa chất nguy hiểm cần công bố thông tin trong chế phẩm diệt côn trùng, diệt khuẩn dùng trong lĩnh vực gia dụng và y tế là vấn đề chuyên môn kỹ thuật chuyên ngành, cần tham khảo ý kiến Bộ Công Thương, Bộ Khoa học và Công nghệ, Bộ Nông nghiệp và Môi trường, các cơ quan, tổ chức có liên quan, chuyên </w:t>
            </w:r>
            <w:r w:rsidRPr="00BB7887">
              <w:rPr>
                <w:rFonts w:cs="Times New Roman"/>
                <w:sz w:val="26"/>
                <w:szCs w:val="26"/>
              </w:rPr>
              <w:lastRenderedPageBreak/>
              <w:t>gia, nhà khoa học để hoàn thiện dự thảo Thông tư, nhằm bảo đảm tính hợp pháp, tính thống nhất của hệ thống pháp luật, tính khả thi.</w:t>
            </w:r>
          </w:p>
        </w:tc>
        <w:tc>
          <w:tcPr>
            <w:tcW w:w="5246" w:type="dxa"/>
          </w:tcPr>
          <w:p w14:paraId="7E9E851B" w14:textId="0FB93451" w:rsidR="00EF303F" w:rsidRPr="00BB7887" w:rsidRDefault="00194966" w:rsidP="00194966">
            <w:pPr>
              <w:tabs>
                <w:tab w:val="left" w:pos="339"/>
              </w:tabs>
              <w:spacing w:before="60" w:after="60"/>
              <w:jc w:val="both"/>
              <w:rPr>
                <w:rFonts w:cs="Times New Roman"/>
                <w:sz w:val="26"/>
                <w:szCs w:val="26"/>
              </w:rPr>
            </w:pPr>
            <w:r w:rsidRPr="00BB7887">
              <w:rPr>
                <w:rFonts w:cs="Times New Roman"/>
                <w:sz w:val="26"/>
                <w:szCs w:val="26"/>
              </w:rPr>
              <w:lastRenderedPageBreak/>
              <w:t>Đã</w:t>
            </w:r>
            <w:r w:rsidR="00F275CA" w:rsidRPr="00BB7887">
              <w:rPr>
                <w:rFonts w:cs="Times New Roman"/>
                <w:sz w:val="26"/>
                <w:szCs w:val="26"/>
              </w:rPr>
              <w:t xml:space="preserve"> xin ý kiến Bộ Công Thương, Bộ Khoa học và Công nghệ, Bộ Nông nghiệp và Môi trường, các cơ quan, tổ chức có liên quan, chuyên gia, nhà khoa học</w:t>
            </w:r>
            <w:r w:rsidRPr="00BB7887">
              <w:rPr>
                <w:rFonts w:cs="Times New Roman"/>
                <w:sz w:val="26"/>
                <w:szCs w:val="26"/>
              </w:rPr>
              <w:t xml:space="preserve"> và tiếp thu chỉnh sửa, hoàn thiện</w:t>
            </w:r>
            <w:r w:rsidR="00F275CA" w:rsidRPr="00BB7887">
              <w:rPr>
                <w:rFonts w:cs="Times New Roman"/>
                <w:sz w:val="26"/>
                <w:szCs w:val="26"/>
              </w:rPr>
              <w:t xml:space="preserve"> dự thảo Thông tư</w:t>
            </w:r>
            <w:r w:rsidRPr="00BB7887">
              <w:rPr>
                <w:rFonts w:cs="Times New Roman"/>
                <w:sz w:val="26"/>
                <w:szCs w:val="26"/>
              </w:rPr>
              <w:t xml:space="preserve"> </w:t>
            </w:r>
          </w:p>
        </w:tc>
      </w:tr>
      <w:tr w:rsidR="00047304" w:rsidRPr="00BB7887" w14:paraId="7380B331" w14:textId="77777777" w:rsidTr="0048423B">
        <w:tc>
          <w:tcPr>
            <w:tcW w:w="708" w:type="dxa"/>
            <w:vAlign w:val="center"/>
          </w:tcPr>
          <w:p w14:paraId="1E6F37DA" w14:textId="648F88DE" w:rsidR="00047304" w:rsidRPr="00BB7887" w:rsidRDefault="00047304" w:rsidP="00242747">
            <w:pPr>
              <w:spacing w:before="60" w:after="60" w:line="276" w:lineRule="auto"/>
              <w:jc w:val="center"/>
              <w:rPr>
                <w:rFonts w:cs="Times New Roman"/>
                <w:b/>
                <w:sz w:val="26"/>
                <w:szCs w:val="26"/>
              </w:rPr>
            </w:pPr>
            <w:r>
              <w:rPr>
                <w:rFonts w:cs="Times New Roman"/>
                <w:b/>
                <w:sz w:val="26"/>
                <w:szCs w:val="26"/>
              </w:rPr>
              <w:lastRenderedPageBreak/>
              <w:t>8</w:t>
            </w:r>
          </w:p>
        </w:tc>
        <w:tc>
          <w:tcPr>
            <w:tcW w:w="8643" w:type="dxa"/>
            <w:vAlign w:val="center"/>
          </w:tcPr>
          <w:p w14:paraId="2BBE69EF" w14:textId="2B88D71E" w:rsidR="00047304" w:rsidRPr="00047304" w:rsidRDefault="00047304" w:rsidP="00EF303F">
            <w:pPr>
              <w:spacing w:after="120" w:line="360" w:lineRule="exact"/>
              <w:ind w:right="142"/>
              <w:jc w:val="both"/>
              <w:rPr>
                <w:rFonts w:cs="Times New Roman"/>
                <w:b/>
                <w:sz w:val="26"/>
                <w:szCs w:val="26"/>
              </w:rPr>
            </w:pPr>
            <w:r w:rsidRPr="00047304">
              <w:rPr>
                <w:rFonts w:cs="Times New Roman"/>
                <w:b/>
                <w:sz w:val="26"/>
                <w:szCs w:val="26"/>
              </w:rPr>
              <w:t>Bộ Công an</w:t>
            </w:r>
          </w:p>
        </w:tc>
        <w:tc>
          <w:tcPr>
            <w:tcW w:w="5246" w:type="dxa"/>
          </w:tcPr>
          <w:p w14:paraId="42F2B118" w14:textId="77777777" w:rsidR="00047304" w:rsidRPr="00BB7887" w:rsidRDefault="00047304" w:rsidP="00194966">
            <w:pPr>
              <w:tabs>
                <w:tab w:val="left" w:pos="339"/>
              </w:tabs>
              <w:spacing w:before="60" w:after="60"/>
              <w:jc w:val="both"/>
              <w:rPr>
                <w:rFonts w:cs="Times New Roman"/>
                <w:sz w:val="26"/>
                <w:szCs w:val="26"/>
              </w:rPr>
            </w:pPr>
          </w:p>
        </w:tc>
      </w:tr>
      <w:tr w:rsidR="00047304" w:rsidRPr="00BB7887" w14:paraId="2468D3BC" w14:textId="77777777" w:rsidTr="0048423B">
        <w:tc>
          <w:tcPr>
            <w:tcW w:w="708" w:type="dxa"/>
            <w:vAlign w:val="center"/>
          </w:tcPr>
          <w:p w14:paraId="037ED574" w14:textId="77777777" w:rsidR="00047304" w:rsidRPr="00BB7887" w:rsidRDefault="00047304" w:rsidP="00242747">
            <w:pPr>
              <w:spacing w:before="60" w:after="60" w:line="276" w:lineRule="auto"/>
              <w:jc w:val="center"/>
              <w:rPr>
                <w:rFonts w:cs="Times New Roman"/>
                <w:b/>
                <w:sz w:val="26"/>
                <w:szCs w:val="26"/>
              </w:rPr>
            </w:pPr>
          </w:p>
        </w:tc>
        <w:tc>
          <w:tcPr>
            <w:tcW w:w="8643" w:type="dxa"/>
            <w:vAlign w:val="center"/>
          </w:tcPr>
          <w:p w14:paraId="33CF8108" w14:textId="5A65B912" w:rsidR="00047304" w:rsidRPr="00BB7887" w:rsidRDefault="00047304" w:rsidP="00EF303F">
            <w:pPr>
              <w:spacing w:after="120" w:line="360" w:lineRule="exact"/>
              <w:ind w:right="142"/>
              <w:jc w:val="both"/>
              <w:rPr>
                <w:rFonts w:cs="Times New Roman"/>
                <w:sz w:val="26"/>
                <w:szCs w:val="26"/>
              </w:rPr>
            </w:pPr>
            <w:r>
              <w:rPr>
                <w:rFonts w:cs="Times New Roman"/>
                <w:sz w:val="26"/>
                <w:szCs w:val="26"/>
              </w:rPr>
              <w:t>Nhát trí với nội dung dự thảo Thông tư</w:t>
            </w:r>
          </w:p>
        </w:tc>
        <w:tc>
          <w:tcPr>
            <w:tcW w:w="5246" w:type="dxa"/>
          </w:tcPr>
          <w:p w14:paraId="3A95EB18" w14:textId="77777777" w:rsidR="00047304" w:rsidRPr="00BB7887" w:rsidRDefault="00047304" w:rsidP="00194966">
            <w:pPr>
              <w:tabs>
                <w:tab w:val="left" w:pos="339"/>
              </w:tabs>
              <w:spacing w:before="60" w:after="60"/>
              <w:jc w:val="both"/>
              <w:rPr>
                <w:rFonts w:cs="Times New Roman"/>
                <w:sz w:val="26"/>
                <w:szCs w:val="26"/>
              </w:rPr>
            </w:pPr>
          </w:p>
        </w:tc>
      </w:tr>
      <w:tr w:rsidR="00047304" w:rsidRPr="00BB7887" w14:paraId="4B01E068" w14:textId="77777777" w:rsidTr="0048423B">
        <w:tc>
          <w:tcPr>
            <w:tcW w:w="708" w:type="dxa"/>
            <w:vAlign w:val="center"/>
          </w:tcPr>
          <w:p w14:paraId="42513BF8" w14:textId="220ACAAD" w:rsidR="00047304" w:rsidRPr="00BB7887" w:rsidRDefault="00047304" w:rsidP="00242747">
            <w:pPr>
              <w:spacing w:before="60" w:after="60" w:line="276" w:lineRule="auto"/>
              <w:jc w:val="center"/>
              <w:rPr>
                <w:rFonts w:cs="Times New Roman"/>
                <w:b/>
                <w:sz w:val="26"/>
                <w:szCs w:val="26"/>
              </w:rPr>
            </w:pPr>
            <w:r>
              <w:rPr>
                <w:rFonts w:cs="Times New Roman"/>
                <w:b/>
                <w:sz w:val="26"/>
                <w:szCs w:val="26"/>
              </w:rPr>
              <w:t>9</w:t>
            </w:r>
          </w:p>
        </w:tc>
        <w:tc>
          <w:tcPr>
            <w:tcW w:w="8643" w:type="dxa"/>
            <w:vAlign w:val="center"/>
          </w:tcPr>
          <w:p w14:paraId="41767BED" w14:textId="048B8C30" w:rsidR="00047304" w:rsidRPr="00047304" w:rsidRDefault="00047304" w:rsidP="00EF303F">
            <w:pPr>
              <w:spacing w:after="120" w:line="360" w:lineRule="exact"/>
              <w:ind w:right="142"/>
              <w:jc w:val="both"/>
              <w:rPr>
                <w:rFonts w:cs="Times New Roman"/>
                <w:b/>
                <w:sz w:val="26"/>
                <w:szCs w:val="26"/>
              </w:rPr>
            </w:pPr>
            <w:r w:rsidRPr="00047304">
              <w:rPr>
                <w:rFonts w:cs="Times New Roman"/>
                <w:b/>
                <w:sz w:val="26"/>
                <w:szCs w:val="26"/>
              </w:rPr>
              <w:t>Thanh tra Chính phủ</w:t>
            </w:r>
          </w:p>
        </w:tc>
        <w:tc>
          <w:tcPr>
            <w:tcW w:w="5246" w:type="dxa"/>
          </w:tcPr>
          <w:p w14:paraId="797CFCF9" w14:textId="77777777" w:rsidR="00047304" w:rsidRPr="00BB7887" w:rsidRDefault="00047304" w:rsidP="00194966">
            <w:pPr>
              <w:tabs>
                <w:tab w:val="left" w:pos="339"/>
              </w:tabs>
              <w:spacing w:before="60" w:after="60"/>
              <w:jc w:val="both"/>
              <w:rPr>
                <w:rFonts w:cs="Times New Roman"/>
                <w:sz w:val="26"/>
                <w:szCs w:val="26"/>
              </w:rPr>
            </w:pPr>
          </w:p>
        </w:tc>
      </w:tr>
      <w:tr w:rsidR="00047304" w:rsidRPr="00BB7887" w14:paraId="08C4DCAD" w14:textId="77777777" w:rsidTr="003F5C2A">
        <w:trPr>
          <w:trHeight w:val="1308"/>
        </w:trPr>
        <w:tc>
          <w:tcPr>
            <w:tcW w:w="708" w:type="dxa"/>
            <w:vAlign w:val="center"/>
          </w:tcPr>
          <w:p w14:paraId="7C2B3889" w14:textId="77777777" w:rsidR="00047304" w:rsidRDefault="00047304" w:rsidP="00242747">
            <w:pPr>
              <w:spacing w:before="60" w:after="60" w:line="276" w:lineRule="auto"/>
              <w:jc w:val="center"/>
              <w:rPr>
                <w:rFonts w:cs="Times New Roman"/>
                <w:b/>
                <w:sz w:val="26"/>
                <w:szCs w:val="26"/>
              </w:rPr>
            </w:pPr>
          </w:p>
        </w:tc>
        <w:tc>
          <w:tcPr>
            <w:tcW w:w="8643" w:type="dxa"/>
          </w:tcPr>
          <w:p w14:paraId="2124E931" w14:textId="09451E2F" w:rsidR="00047304" w:rsidRPr="00047304" w:rsidRDefault="00047304" w:rsidP="003F5C2A">
            <w:pPr>
              <w:jc w:val="both"/>
              <w:rPr>
                <w:sz w:val="26"/>
                <w:szCs w:val="26"/>
              </w:rPr>
            </w:pPr>
            <w:r w:rsidRPr="00047304">
              <w:rPr>
                <w:sz w:val="26"/>
                <w:szCs w:val="26"/>
              </w:rPr>
              <w:t xml:space="preserve">Về đối tượng áp dụng: Dự thảo Thông tư quy định đối tượng áp dụng là các cơ quan, tổ chức, cá nhân tham gia sản xuất, nhập khẩu, mua bán, thực hiện đăng ký lưu hành chế phẩm. Đề nghị cân nhắc, bổ sung đối tượng “sử dụng” hóa chất, phù hợp với quy định tại khoản 19 Điều 2 và Điều 15 Luật Hóa chất năm 2025. </w:t>
            </w:r>
          </w:p>
        </w:tc>
        <w:tc>
          <w:tcPr>
            <w:tcW w:w="5246" w:type="dxa"/>
          </w:tcPr>
          <w:p w14:paraId="2012B560" w14:textId="7212E7A2" w:rsidR="00047304" w:rsidRPr="00B15128" w:rsidRDefault="003F5C2A" w:rsidP="00194966">
            <w:pPr>
              <w:tabs>
                <w:tab w:val="left" w:pos="339"/>
              </w:tabs>
              <w:spacing w:before="60" w:after="60"/>
              <w:jc w:val="both"/>
              <w:rPr>
                <w:rFonts w:cs="Times New Roman"/>
                <w:sz w:val="26"/>
                <w:szCs w:val="26"/>
              </w:rPr>
            </w:pPr>
            <w:r>
              <w:rPr>
                <w:rFonts w:cs="Times New Roman"/>
                <w:sz w:val="26"/>
                <w:szCs w:val="26"/>
              </w:rPr>
              <w:t>K</w:t>
            </w:r>
            <w:r w:rsidR="00B15128" w:rsidRPr="00B15128">
              <w:rPr>
                <w:rFonts w:cs="Times New Roman"/>
                <w:sz w:val="26"/>
                <w:szCs w:val="26"/>
              </w:rPr>
              <w:t xml:space="preserve">hoản 19 Điều 2 Luật Hóa chất quy định: </w:t>
            </w:r>
            <w:r w:rsidR="00B15128" w:rsidRPr="00B15128">
              <w:rPr>
                <w:rFonts w:cs="Times New Roman"/>
                <w:i/>
                <w:sz w:val="26"/>
                <w:szCs w:val="26"/>
              </w:rPr>
              <w:t xml:space="preserve">“19. </w:t>
            </w:r>
            <w:r w:rsidR="00B15128" w:rsidRPr="00B15128">
              <w:rPr>
                <w:rFonts w:cs="Times New Roman"/>
                <w:i/>
                <w:iCs/>
                <w:color w:val="000000"/>
                <w:sz w:val="26"/>
                <w:szCs w:val="26"/>
                <w:shd w:val="clear" w:color="auto" w:fill="FFFFFF"/>
                <w:lang w:val="en"/>
              </w:rPr>
              <w:t>S</w:t>
            </w:r>
            <w:r w:rsidR="00B15128" w:rsidRPr="00B15128">
              <w:rPr>
                <w:rFonts w:cs="Times New Roman"/>
                <w:i/>
                <w:iCs/>
                <w:color w:val="000000"/>
                <w:sz w:val="26"/>
                <w:szCs w:val="26"/>
                <w:shd w:val="clear" w:color="auto" w:fill="FFFFFF"/>
              </w:rPr>
              <w:t>ử dụng hóa chất</w:t>
            </w:r>
            <w:r w:rsidR="00B15128" w:rsidRPr="00B15128">
              <w:rPr>
                <w:rFonts w:cs="Times New Roman"/>
                <w:i/>
                <w:color w:val="000000"/>
                <w:sz w:val="26"/>
                <w:szCs w:val="26"/>
                <w:shd w:val="clear" w:color="auto" w:fill="FFFFFF"/>
              </w:rPr>
              <w:t> là việc dùng hóa chất cho mục đích tạo ra sản phẩm, hàng hóa khác; cung ứng dịch vụ; phục vụ quốc phòng, an ninh, y tế, khoa học, công nghệ hoặc mục đích hợp pháp khác”.</w:t>
            </w:r>
            <w:r>
              <w:rPr>
                <w:rFonts w:cs="Times New Roman"/>
                <w:color w:val="000000"/>
                <w:sz w:val="26"/>
                <w:szCs w:val="26"/>
                <w:shd w:val="clear" w:color="auto" w:fill="FFFFFF"/>
              </w:rPr>
              <w:t xml:space="preserve"> Tức là, đối tượng “sử dụng” hóa chất dùng để tạo ra các chế phẩm DCT, DK trong gia dụng và y tế chính là đối tượng tham gia sản xuất, thực hiện đăng ký lưu hành chế phẩm.</w:t>
            </w:r>
          </w:p>
        </w:tc>
      </w:tr>
      <w:tr w:rsidR="00047304" w:rsidRPr="00BB7887" w14:paraId="75BF0908" w14:textId="77777777" w:rsidTr="003F5C2A">
        <w:trPr>
          <w:trHeight w:val="982"/>
        </w:trPr>
        <w:tc>
          <w:tcPr>
            <w:tcW w:w="708" w:type="dxa"/>
            <w:vAlign w:val="center"/>
          </w:tcPr>
          <w:p w14:paraId="5AA9170B" w14:textId="77777777" w:rsidR="00047304" w:rsidRDefault="00047304" w:rsidP="00242747">
            <w:pPr>
              <w:spacing w:before="60" w:after="60" w:line="276" w:lineRule="auto"/>
              <w:jc w:val="center"/>
              <w:rPr>
                <w:rFonts w:cs="Times New Roman"/>
                <w:b/>
                <w:sz w:val="26"/>
                <w:szCs w:val="26"/>
              </w:rPr>
            </w:pPr>
          </w:p>
        </w:tc>
        <w:tc>
          <w:tcPr>
            <w:tcW w:w="8643" w:type="dxa"/>
            <w:vAlign w:val="center"/>
          </w:tcPr>
          <w:p w14:paraId="23E5F36A" w14:textId="5E3C6896" w:rsidR="00047304" w:rsidRPr="00047304" w:rsidRDefault="00047304" w:rsidP="00047304">
            <w:pPr>
              <w:jc w:val="both"/>
              <w:rPr>
                <w:sz w:val="26"/>
                <w:szCs w:val="26"/>
              </w:rPr>
            </w:pPr>
            <w:r w:rsidRPr="00047304">
              <w:rPr>
                <w:sz w:val="26"/>
                <w:szCs w:val="26"/>
              </w:rPr>
              <w:t xml:space="preserve">Về danh mục hóa chất: Đề nghị rà soát, đối chiếu các Danh mục hóa chất quy định tại Phụ lục số 01 và Phụ lục số 02, bảo đảm tránh chồng chéo, trùng lặp với danh mục hóa chất do các bộ, ngành khác quản lý. </w:t>
            </w:r>
          </w:p>
        </w:tc>
        <w:tc>
          <w:tcPr>
            <w:tcW w:w="5246" w:type="dxa"/>
          </w:tcPr>
          <w:p w14:paraId="47B7EAFF" w14:textId="13248441" w:rsidR="00047304" w:rsidRPr="00BB7887" w:rsidRDefault="003F5C2A" w:rsidP="00194966">
            <w:pPr>
              <w:tabs>
                <w:tab w:val="left" w:pos="339"/>
              </w:tabs>
              <w:spacing w:before="60" w:after="60"/>
              <w:jc w:val="both"/>
              <w:rPr>
                <w:rFonts w:cs="Times New Roman"/>
                <w:sz w:val="26"/>
                <w:szCs w:val="26"/>
              </w:rPr>
            </w:pPr>
            <w:r>
              <w:rPr>
                <w:rFonts w:cs="Times New Roman"/>
                <w:sz w:val="26"/>
                <w:szCs w:val="26"/>
              </w:rPr>
              <w:t>Danh mục hóa chất quy định tại Phụ lục I và II bao gồm các hóa chất có tính năng diệt côn trùng, diệt khuẩn dùng trong gia dụng và y tế.</w:t>
            </w:r>
          </w:p>
        </w:tc>
      </w:tr>
      <w:tr w:rsidR="00047304" w:rsidRPr="00BB7887" w14:paraId="056DB160" w14:textId="77777777" w:rsidTr="0048423B">
        <w:tc>
          <w:tcPr>
            <w:tcW w:w="708" w:type="dxa"/>
            <w:vAlign w:val="center"/>
          </w:tcPr>
          <w:p w14:paraId="1B5CA1B5" w14:textId="77777777" w:rsidR="00047304" w:rsidRDefault="00047304" w:rsidP="00242747">
            <w:pPr>
              <w:spacing w:before="60" w:after="60" w:line="276" w:lineRule="auto"/>
              <w:jc w:val="center"/>
              <w:rPr>
                <w:rFonts w:cs="Times New Roman"/>
                <w:b/>
                <w:sz w:val="26"/>
                <w:szCs w:val="26"/>
              </w:rPr>
            </w:pPr>
          </w:p>
        </w:tc>
        <w:tc>
          <w:tcPr>
            <w:tcW w:w="8643" w:type="dxa"/>
            <w:vAlign w:val="center"/>
          </w:tcPr>
          <w:p w14:paraId="440F8B62" w14:textId="77777777" w:rsidR="00047304" w:rsidRPr="00047304" w:rsidRDefault="00047304" w:rsidP="00047304">
            <w:pPr>
              <w:jc w:val="both"/>
              <w:rPr>
                <w:sz w:val="26"/>
                <w:szCs w:val="26"/>
              </w:rPr>
            </w:pPr>
            <w:r w:rsidRPr="00047304">
              <w:rPr>
                <w:sz w:val="26"/>
                <w:szCs w:val="26"/>
              </w:rPr>
              <w:t xml:space="preserve">Về tổ chức thực hiện và trách nhiệm thi hành: </w:t>
            </w:r>
          </w:p>
          <w:p w14:paraId="27FA37BA" w14:textId="77777777" w:rsidR="00047304" w:rsidRPr="00151892" w:rsidRDefault="00047304" w:rsidP="00047304">
            <w:pPr>
              <w:jc w:val="both"/>
              <w:rPr>
                <w:color w:val="FF0000"/>
                <w:sz w:val="26"/>
                <w:szCs w:val="26"/>
              </w:rPr>
            </w:pPr>
            <w:r w:rsidRPr="00151892">
              <w:rPr>
                <w:color w:val="FF0000"/>
                <w:sz w:val="26"/>
                <w:szCs w:val="26"/>
              </w:rPr>
              <w:t xml:space="preserve">- Đề nghị cân nhắc, làm rõ trách nhiệm của Cục Phòng bệnh, các đơn vị thuộc, trực thuộc Bộ Y tế và cơ quan, tổ chức liên quan trong việc phối hợp, theo dõi, hướng dẫn và xử lý khó khăn, vướng mắc trong quá trình tổ chức thực hiện Thông tư, nhằm bảo đảm việc thi hành Thông tư được thống nhất, hiệu quả. </w:t>
            </w:r>
          </w:p>
          <w:p w14:paraId="4BB46EF3" w14:textId="2362FFC0" w:rsidR="00047304" w:rsidRPr="00047304" w:rsidRDefault="00047304" w:rsidP="00047304">
            <w:pPr>
              <w:jc w:val="both"/>
              <w:rPr>
                <w:sz w:val="26"/>
                <w:szCs w:val="26"/>
              </w:rPr>
            </w:pPr>
            <w:r w:rsidRPr="00047304">
              <w:rPr>
                <w:sz w:val="26"/>
                <w:szCs w:val="26"/>
              </w:rPr>
              <w:t>- Về các nội dung khác, đề nghị Bộ Y tế nghiên cứu, tiếp thu ý kiến của các cơ quan, đơn vị liên quan để hoàn thiện và ban hành Thông tư theo quy định của pháp luật.</w:t>
            </w:r>
          </w:p>
        </w:tc>
        <w:tc>
          <w:tcPr>
            <w:tcW w:w="5246" w:type="dxa"/>
          </w:tcPr>
          <w:p w14:paraId="64114414" w14:textId="1DC9C4C9" w:rsidR="00047304" w:rsidRPr="00BB7887" w:rsidRDefault="00151892" w:rsidP="00151892">
            <w:pPr>
              <w:tabs>
                <w:tab w:val="left" w:pos="339"/>
              </w:tabs>
              <w:spacing w:before="60" w:after="60"/>
              <w:jc w:val="both"/>
              <w:rPr>
                <w:rFonts w:cs="Times New Roman"/>
                <w:sz w:val="26"/>
                <w:szCs w:val="26"/>
              </w:rPr>
            </w:pPr>
            <w:r>
              <w:rPr>
                <w:rFonts w:cs="Times New Roman"/>
                <w:sz w:val="26"/>
                <w:szCs w:val="26"/>
              </w:rPr>
              <w:t>Đã tiếp thu ý kiến</w:t>
            </w:r>
          </w:p>
        </w:tc>
      </w:tr>
      <w:tr w:rsidR="00BB7887" w:rsidRPr="00BB7887" w14:paraId="5C9EEE12" w14:textId="77777777" w:rsidTr="0048423B">
        <w:tc>
          <w:tcPr>
            <w:tcW w:w="708" w:type="dxa"/>
            <w:vAlign w:val="center"/>
          </w:tcPr>
          <w:p w14:paraId="2E34E57E" w14:textId="0A04A1E6" w:rsidR="00D45E90" w:rsidRPr="00BB7887" w:rsidRDefault="00754987" w:rsidP="00242747">
            <w:pPr>
              <w:spacing w:before="60" w:after="60" w:line="276" w:lineRule="auto"/>
              <w:jc w:val="center"/>
              <w:rPr>
                <w:rFonts w:cs="Times New Roman"/>
                <w:b/>
                <w:sz w:val="26"/>
                <w:szCs w:val="26"/>
              </w:rPr>
            </w:pPr>
            <w:r>
              <w:rPr>
                <w:rFonts w:cs="Times New Roman"/>
                <w:b/>
                <w:sz w:val="26"/>
                <w:szCs w:val="26"/>
              </w:rPr>
              <w:t>10</w:t>
            </w:r>
          </w:p>
        </w:tc>
        <w:tc>
          <w:tcPr>
            <w:tcW w:w="8643" w:type="dxa"/>
            <w:vAlign w:val="center"/>
          </w:tcPr>
          <w:p w14:paraId="3E54DB87" w14:textId="4D933E29" w:rsidR="00D45E90" w:rsidRPr="00BB7887" w:rsidRDefault="00D45E90" w:rsidP="004C0F3C">
            <w:pPr>
              <w:spacing w:after="120" w:line="360" w:lineRule="exact"/>
              <w:ind w:right="142"/>
              <w:jc w:val="both"/>
              <w:rPr>
                <w:rFonts w:cs="Times New Roman"/>
                <w:b/>
                <w:spacing w:val="3"/>
                <w:sz w:val="26"/>
                <w:szCs w:val="26"/>
                <w:shd w:val="clear" w:color="auto" w:fill="FFFFFF"/>
              </w:rPr>
            </w:pPr>
            <w:r w:rsidRPr="00BB7887">
              <w:rPr>
                <w:rFonts w:cs="Times New Roman"/>
                <w:b/>
                <w:spacing w:val="3"/>
                <w:sz w:val="26"/>
                <w:szCs w:val="26"/>
                <w:shd w:val="clear" w:color="auto" w:fill="FFFFFF"/>
              </w:rPr>
              <w:t>Ban Dân tộc và Tôn giáo</w:t>
            </w:r>
          </w:p>
        </w:tc>
        <w:tc>
          <w:tcPr>
            <w:tcW w:w="5246" w:type="dxa"/>
          </w:tcPr>
          <w:p w14:paraId="5876B231" w14:textId="77777777" w:rsidR="00D45E90" w:rsidRPr="00BB7887" w:rsidRDefault="00D45E90" w:rsidP="00383B80">
            <w:pPr>
              <w:tabs>
                <w:tab w:val="left" w:pos="339"/>
              </w:tabs>
              <w:spacing w:before="60" w:after="60"/>
              <w:rPr>
                <w:rFonts w:cs="Times New Roman"/>
                <w:sz w:val="26"/>
                <w:szCs w:val="26"/>
              </w:rPr>
            </w:pPr>
          </w:p>
        </w:tc>
      </w:tr>
      <w:tr w:rsidR="00BB7887" w:rsidRPr="00BB7887" w14:paraId="5B3DA546" w14:textId="77777777" w:rsidTr="0048423B">
        <w:tc>
          <w:tcPr>
            <w:tcW w:w="708" w:type="dxa"/>
            <w:vAlign w:val="center"/>
          </w:tcPr>
          <w:p w14:paraId="2FC75205" w14:textId="77777777" w:rsidR="00D45E90" w:rsidRPr="00BB7887" w:rsidRDefault="00D45E90" w:rsidP="00242747">
            <w:pPr>
              <w:spacing w:before="60" w:after="60" w:line="276" w:lineRule="auto"/>
              <w:jc w:val="center"/>
              <w:rPr>
                <w:rFonts w:cs="Times New Roman"/>
                <w:b/>
                <w:sz w:val="26"/>
                <w:szCs w:val="26"/>
              </w:rPr>
            </w:pPr>
          </w:p>
        </w:tc>
        <w:tc>
          <w:tcPr>
            <w:tcW w:w="8643" w:type="dxa"/>
            <w:vAlign w:val="center"/>
          </w:tcPr>
          <w:p w14:paraId="1F9C68D5" w14:textId="77777777" w:rsidR="00D45E90" w:rsidRPr="00BB7887" w:rsidRDefault="00D45E90" w:rsidP="004C0F3C">
            <w:pPr>
              <w:spacing w:after="120" w:line="360" w:lineRule="exact"/>
              <w:ind w:right="142"/>
              <w:jc w:val="both"/>
              <w:rPr>
                <w:rFonts w:cs="Times New Roman"/>
                <w:spacing w:val="3"/>
                <w:sz w:val="26"/>
                <w:szCs w:val="26"/>
                <w:shd w:val="clear" w:color="auto" w:fill="FFFFFF"/>
              </w:rPr>
            </w:pPr>
            <w:r w:rsidRPr="00BB7887">
              <w:rPr>
                <w:rFonts w:cs="Times New Roman"/>
                <w:spacing w:val="3"/>
                <w:sz w:val="26"/>
                <w:szCs w:val="26"/>
                <w:shd w:val="clear" w:color="auto" w:fill="FFFFFF"/>
              </w:rPr>
              <w:t>Rà soát lại khoản 1 Điều 4 dự thảo Thông tư đảm bảo ngày có hiệu lực thi hành theo quy định tại khoản 1 Điều 53 Luật Ban hành văn bản quy phạm pháp luật năm 2025</w:t>
            </w:r>
          </w:p>
          <w:p w14:paraId="0CA257AC" w14:textId="4915946C" w:rsidR="00D45E90" w:rsidRPr="00BB7887" w:rsidRDefault="00D45E90" w:rsidP="004C0F3C">
            <w:pPr>
              <w:spacing w:after="120" w:line="360" w:lineRule="exact"/>
              <w:ind w:right="142"/>
              <w:jc w:val="both"/>
              <w:rPr>
                <w:rFonts w:cs="Times New Roman"/>
                <w:spacing w:val="3"/>
                <w:sz w:val="26"/>
                <w:szCs w:val="26"/>
                <w:shd w:val="clear" w:color="auto" w:fill="FFFFFF"/>
              </w:rPr>
            </w:pPr>
            <w:r w:rsidRPr="00BB7887">
              <w:rPr>
                <w:rFonts w:cs="Times New Roman"/>
                <w:spacing w:val="3"/>
                <w:sz w:val="26"/>
                <w:szCs w:val="26"/>
                <w:shd w:val="clear" w:color="auto" w:fill="FFFFFF"/>
              </w:rPr>
              <w:t>Rà soát nội dung trong dự thảo Thông tư đảm bảo phù hợp với chủ trương của Đảng, pháp luật có liên quan và thẩm quyền của quý Bộ</w:t>
            </w:r>
          </w:p>
        </w:tc>
        <w:tc>
          <w:tcPr>
            <w:tcW w:w="5246" w:type="dxa"/>
          </w:tcPr>
          <w:p w14:paraId="4B0A0A65" w14:textId="35220B9C" w:rsidR="00D45E90" w:rsidRPr="00BB7887" w:rsidRDefault="003D1B88" w:rsidP="00F275CA">
            <w:pPr>
              <w:tabs>
                <w:tab w:val="left" w:pos="339"/>
              </w:tabs>
              <w:spacing w:before="60" w:after="60"/>
              <w:jc w:val="both"/>
              <w:rPr>
                <w:rFonts w:cs="Times New Roman"/>
                <w:sz w:val="26"/>
                <w:szCs w:val="26"/>
              </w:rPr>
            </w:pPr>
            <w:r w:rsidRPr="00BB7887">
              <w:rPr>
                <w:rFonts w:cs="Times New Roman"/>
                <w:sz w:val="26"/>
                <w:szCs w:val="26"/>
              </w:rPr>
              <w:t>Đã tiếp thu ý kiến</w:t>
            </w:r>
            <w:r w:rsidR="00F275CA" w:rsidRPr="00BB7887">
              <w:rPr>
                <w:rFonts w:cs="Times New Roman"/>
                <w:sz w:val="26"/>
                <w:szCs w:val="26"/>
              </w:rPr>
              <w:t xml:space="preserve"> và </w:t>
            </w:r>
            <w:r w:rsidR="00F275CA" w:rsidRPr="00BB7887">
              <w:rPr>
                <w:rFonts w:cs="Times New Roman"/>
                <w:spacing w:val="3"/>
                <w:sz w:val="26"/>
                <w:szCs w:val="26"/>
                <w:shd w:val="clear" w:color="auto" w:fill="FFFFFF"/>
              </w:rPr>
              <w:t>rà soát nội dung dự thảo Thông tư đảm bảo phù hợp với chủ trương của Đảng, pháp luật có liên quan và thẩm quyền quản lý của Bộ Y tế</w:t>
            </w:r>
          </w:p>
        </w:tc>
      </w:tr>
      <w:tr w:rsidR="00BB7887" w:rsidRPr="00BB7887" w14:paraId="79C5392E" w14:textId="77777777" w:rsidTr="0048423B">
        <w:tc>
          <w:tcPr>
            <w:tcW w:w="708" w:type="dxa"/>
            <w:vAlign w:val="center"/>
          </w:tcPr>
          <w:p w14:paraId="193CFC50" w14:textId="4F134D74" w:rsidR="00003119" w:rsidRPr="00BB7887" w:rsidRDefault="00754987" w:rsidP="00946C8B">
            <w:pPr>
              <w:spacing w:before="60" w:after="60" w:line="276" w:lineRule="auto"/>
              <w:jc w:val="center"/>
              <w:rPr>
                <w:rFonts w:cs="Times New Roman"/>
                <w:b/>
                <w:sz w:val="26"/>
                <w:szCs w:val="26"/>
              </w:rPr>
            </w:pPr>
            <w:r>
              <w:rPr>
                <w:rFonts w:cs="Times New Roman"/>
                <w:b/>
                <w:sz w:val="26"/>
                <w:szCs w:val="26"/>
              </w:rPr>
              <w:t>11</w:t>
            </w:r>
          </w:p>
        </w:tc>
        <w:tc>
          <w:tcPr>
            <w:tcW w:w="13889" w:type="dxa"/>
            <w:gridSpan w:val="2"/>
            <w:vAlign w:val="center"/>
          </w:tcPr>
          <w:p w14:paraId="53A84754" w14:textId="501E4310" w:rsidR="00003119" w:rsidRPr="00BB7887" w:rsidRDefault="00003119" w:rsidP="009F48BB">
            <w:pPr>
              <w:spacing w:before="60" w:after="60" w:line="276" w:lineRule="auto"/>
              <w:jc w:val="both"/>
              <w:rPr>
                <w:rFonts w:cs="Times New Roman"/>
                <w:b/>
                <w:sz w:val="26"/>
                <w:szCs w:val="26"/>
              </w:rPr>
            </w:pPr>
            <w:r w:rsidRPr="00BB7887">
              <w:rPr>
                <w:rFonts w:cs="Times New Roman"/>
                <w:b/>
                <w:sz w:val="26"/>
                <w:szCs w:val="26"/>
              </w:rPr>
              <w:t>Ngân hàng Nhà nước Việt Nam</w:t>
            </w:r>
          </w:p>
        </w:tc>
      </w:tr>
      <w:tr w:rsidR="00BB7887" w:rsidRPr="00BB7887" w14:paraId="3429652E" w14:textId="77777777" w:rsidTr="0048423B">
        <w:tc>
          <w:tcPr>
            <w:tcW w:w="708" w:type="dxa"/>
            <w:vAlign w:val="center"/>
          </w:tcPr>
          <w:p w14:paraId="1E2F877C" w14:textId="34F97ADA" w:rsidR="00003119" w:rsidRPr="00BB7887" w:rsidRDefault="00003119" w:rsidP="009F48BB">
            <w:pPr>
              <w:spacing w:before="60" w:after="60" w:line="276" w:lineRule="auto"/>
              <w:rPr>
                <w:rFonts w:cs="Times New Roman"/>
                <w:sz w:val="26"/>
                <w:szCs w:val="26"/>
              </w:rPr>
            </w:pPr>
          </w:p>
        </w:tc>
        <w:tc>
          <w:tcPr>
            <w:tcW w:w="8643" w:type="dxa"/>
            <w:vAlign w:val="center"/>
          </w:tcPr>
          <w:p w14:paraId="206D5792" w14:textId="71029ED4" w:rsidR="00003119" w:rsidRPr="00BB7887" w:rsidRDefault="00003119" w:rsidP="00F275CA">
            <w:pPr>
              <w:jc w:val="both"/>
              <w:rPr>
                <w:rFonts w:eastAsia="Times New Roman" w:cs="Times New Roman"/>
                <w:sz w:val="26"/>
                <w:szCs w:val="26"/>
              </w:rPr>
            </w:pPr>
            <w:r w:rsidRPr="00BB7887">
              <w:rPr>
                <w:rFonts w:eastAsia="Times New Roman" w:cs="Times New Roman"/>
                <w:sz w:val="26"/>
                <w:szCs w:val="26"/>
              </w:rPr>
              <w:t>Về kỹ thuật soạn thảo văn bản: Đề nghị đơn vị soạn thảo cân nhắc bỏ quy định:</w:t>
            </w:r>
            <w:r w:rsidRPr="00BB7887">
              <w:rPr>
                <w:rFonts w:eastAsia="Times New Roman" w:cs="Times New Roman"/>
                <w:i/>
                <w:iCs/>
                <w:sz w:val="26"/>
                <w:szCs w:val="26"/>
              </w:rPr>
              <w:t xml:space="preserve">“Trong quá trình thực hiện, nếu có khó khăn, vướng mắc, các cơ quan, tổ chức, cá nhân phản ánh kịp thời về Bộ Y tế (Cục Phòng bệnh) để xem xét giải quyết” </w:t>
            </w:r>
            <w:r w:rsidRPr="00BB7887">
              <w:rPr>
                <w:rFonts w:eastAsia="Times New Roman" w:cs="Times New Roman"/>
                <w:sz w:val="26"/>
                <w:szCs w:val="26"/>
              </w:rPr>
              <w:t>tại Điều 8 Dự thảo để phù hợp với tính chất văn bản quy phạm pháp luật.</w:t>
            </w:r>
          </w:p>
        </w:tc>
        <w:tc>
          <w:tcPr>
            <w:tcW w:w="5246" w:type="dxa"/>
          </w:tcPr>
          <w:p w14:paraId="1DC5465F" w14:textId="30234CA6" w:rsidR="00003119" w:rsidRPr="00BB7887" w:rsidRDefault="00F87B6F" w:rsidP="003D1B88">
            <w:pPr>
              <w:spacing w:before="60" w:after="60" w:line="276" w:lineRule="auto"/>
              <w:rPr>
                <w:rFonts w:cs="Times New Roman"/>
                <w:sz w:val="26"/>
                <w:szCs w:val="26"/>
              </w:rPr>
            </w:pPr>
            <w:r w:rsidRPr="00BB7887">
              <w:rPr>
                <w:rFonts w:cs="Times New Roman"/>
                <w:sz w:val="26"/>
                <w:szCs w:val="26"/>
              </w:rPr>
              <w:t>Bảo lưu</w:t>
            </w:r>
          </w:p>
        </w:tc>
      </w:tr>
      <w:tr w:rsidR="00BB7887" w:rsidRPr="00BB7887" w14:paraId="38D1EEDA" w14:textId="77777777" w:rsidTr="0048423B">
        <w:tc>
          <w:tcPr>
            <w:tcW w:w="708" w:type="dxa"/>
            <w:vAlign w:val="center"/>
          </w:tcPr>
          <w:p w14:paraId="7312DB15" w14:textId="77777777" w:rsidR="00F275CA" w:rsidRPr="00BB7887" w:rsidRDefault="00F275CA" w:rsidP="009F48BB">
            <w:pPr>
              <w:spacing w:before="60" w:after="60" w:line="276" w:lineRule="auto"/>
              <w:rPr>
                <w:rFonts w:cs="Times New Roman"/>
                <w:sz w:val="26"/>
                <w:szCs w:val="26"/>
              </w:rPr>
            </w:pPr>
          </w:p>
        </w:tc>
        <w:tc>
          <w:tcPr>
            <w:tcW w:w="8643" w:type="dxa"/>
            <w:vAlign w:val="center"/>
          </w:tcPr>
          <w:p w14:paraId="356BA5D9" w14:textId="39B25216" w:rsidR="00F275CA" w:rsidRPr="00BB7887" w:rsidRDefault="00F275CA" w:rsidP="00F275CA">
            <w:pPr>
              <w:jc w:val="both"/>
              <w:rPr>
                <w:rFonts w:eastAsia="Times New Roman" w:cs="Times New Roman"/>
                <w:bCs/>
                <w:sz w:val="26"/>
                <w:szCs w:val="26"/>
              </w:rPr>
            </w:pPr>
            <w:r w:rsidRPr="00BB7887">
              <w:rPr>
                <w:rFonts w:eastAsia="Times New Roman" w:cs="Times New Roman"/>
                <w:sz w:val="26"/>
                <w:szCs w:val="26"/>
              </w:rPr>
              <w:t>Về các nội dung khác của Dự thảo: không có ý kiến bổ sung</w:t>
            </w:r>
          </w:p>
        </w:tc>
        <w:tc>
          <w:tcPr>
            <w:tcW w:w="5246" w:type="dxa"/>
          </w:tcPr>
          <w:p w14:paraId="7DC63AFD" w14:textId="3B87672D" w:rsidR="00F275CA" w:rsidRPr="00BB7887" w:rsidRDefault="00F275CA" w:rsidP="003D1B88">
            <w:pPr>
              <w:spacing w:before="60" w:after="60" w:line="276" w:lineRule="auto"/>
              <w:rPr>
                <w:rFonts w:cs="Times New Roman"/>
                <w:sz w:val="26"/>
                <w:szCs w:val="26"/>
              </w:rPr>
            </w:pPr>
          </w:p>
        </w:tc>
      </w:tr>
      <w:tr w:rsidR="00BB7887" w:rsidRPr="00BB7887" w14:paraId="16278522" w14:textId="77777777" w:rsidTr="0048423B">
        <w:tc>
          <w:tcPr>
            <w:tcW w:w="708" w:type="dxa"/>
            <w:vAlign w:val="center"/>
          </w:tcPr>
          <w:p w14:paraId="7873D4C7" w14:textId="27B242F4" w:rsidR="00003119" w:rsidRPr="00BB7887" w:rsidRDefault="00003119" w:rsidP="00DA7DA0">
            <w:pPr>
              <w:spacing w:before="60" w:after="60" w:line="276" w:lineRule="auto"/>
              <w:jc w:val="center"/>
              <w:rPr>
                <w:rFonts w:cs="Times New Roman"/>
                <w:b/>
                <w:sz w:val="26"/>
                <w:szCs w:val="26"/>
              </w:rPr>
            </w:pPr>
            <w:r w:rsidRPr="00BB7887">
              <w:rPr>
                <w:rFonts w:cs="Times New Roman"/>
                <w:b/>
                <w:sz w:val="26"/>
                <w:szCs w:val="26"/>
              </w:rPr>
              <w:t>III</w:t>
            </w:r>
          </w:p>
        </w:tc>
        <w:tc>
          <w:tcPr>
            <w:tcW w:w="13889" w:type="dxa"/>
            <w:gridSpan w:val="2"/>
            <w:vAlign w:val="center"/>
          </w:tcPr>
          <w:p w14:paraId="0EB6CEC8" w14:textId="13B4720F" w:rsidR="00003119" w:rsidRPr="00BB7887" w:rsidRDefault="00003119" w:rsidP="009F48BB">
            <w:pPr>
              <w:spacing w:before="60" w:after="60" w:line="276" w:lineRule="auto"/>
              <w:rPr>
                <w:rFonts w:cs="Times New Roman"/>
                <w:b/>
                <w:sz w:val="26"/>
                <w:szCs w:val="26"/>
              </w:rPr>
            </w:pPr>
            <w:r w:rsidRPr="00BB7887">
              <w:rPr>
                <w:rFonts w:cs="Times New Roman"/>
                <w:b/>
                <w:sz w:val="26"/>
                <w:szCs w:val="26"/>
              </w:rPr>
              <w:t>UBND, SYT 34 TỈNH/THÀNH PHỐ TRỰC THUỘC TRUNG ƯƠNG</w:t>
            </w:r>
          </w:p>
        </w:tc>
      </w:tr>
      <w:tr w:rsidR="00BB7887" w:rsidRPr="00BB7887" w14:paraId="2A52E138" w14:textId="77777777" w:rsidTr="0048423B">
        <w:tc>
          <w:tcPr>
            <w:tcW w:w="708" w:type="dxa"/>
            <w:vAlign w:val="center"/>
          </w:tcPr>
          <w:p w14:paraId="052B1EDB" w14:textId="62D8E527" w:rsidR="00003119" w:rsidRPr="00BB7887" w:rsidRDefault="00003119" w:rsidP="00DA7DA0">
            <w:pPr>
              <w:spacing w:before="60" w:after="60" w:line="276" w:lineRule="auto"/>
              <w:jc w:val="center"/>
              <w:rPr>
                <w:rFonts w:cs="Times New Roman"/>
                <w:b/>
                <w:sz w:val="26"/>
                <w:szCs w:val="26"/>
              </w:rPr>
            </w:pPr>
            <w:r w:rsidRPr="00BB7887">
              <w:rPr>
                <w:rFonts w:cs="Times New Roman"/>
                <w:b/>
                <w:sz w:val="26"/>
                <w:szCs w:val="26"/>
              </w:rPr>
              <w:t>1</w:t>
            </w:r>
          </w:p>
        </w:tc>
        <w:tc>
          <w:tcPr>
            <w:tcW w:w="13889" w:type="dxa"/>
            <w:gridSpan w:val="2"/>
            <w:vAlign w:val="center"/>
          </w:tcPr>
          <w:p w14:paraId="008FDE61" w14:textId="2F9DCFF9" w:rsidR="00003119" w:rsidRPr="00BB7887" w:rsidRDefault="00003119" w:rsidP="009F48BB">
            <w:pPr>
              <w:spacing w:before="60" w:after="60" w:line="276" w:lineRule="auto"/>
              <w:rPr>
                <w:rFonts w:cs="Times New Roman"/>
                <w:b/>
                <w:sz w:val="26"/>
                <w:szCs w:val="26"/>
              </w:rPr>
            </w:pPr>
            <w:r w:rsidRPr="00BB7887">
              <w:rPr>
                <w:rFonts w:cs="Times New Roman"/>
                <w:b/>
                <w:sz w:val="26"/>
                <w:szCs w:val="26"/>
              </w:rPr>
              <w:t xml:space="preserve">SYT </w:t>
            </w:r>
            <w:r w:rsidR="00510A60">
              <w:rPr>
                <w:rFonts w:cs="Times New Roman"/>
                <w:b/>
                <w:sz w:val="26"/>
                <w:szCs w:val="26"/>
              </w:rPr>
              <w:t>22</w:t>
            </w:r>
            <w:r w:rsidRPr="00BB7887">
              <w:rPr>
                <w:rFonts w:cs="Times New Roman"/>
                <w:b/>
                <w:sz w:val="26"/>
                <w:szCs w:val="26"/>
              </w:rPr>
              <w:t xml:space="preserve"> tỉnh/ thành phố (</w:t>
            </w:r>
            <w:r w:rsidR="006C0D38" w:rsidRPr="00BB7887">
              <w:rPr>
                <w:rFonts w:cs="Times New Roman"/>
                <w:b/>
                <w:sz w:val="26"/>
                <w:szCs w:val="26"/>
              </w:rPr>
              <w:t xml:space="preserve">An Giang, </w:t>
            </w:r>
            <w:r w:rsidRPr="00BB7887">
              <w:rPr>
                <w:rFonts w:cs="Times New Roman"/>
                <w:b/>
                <w:sz w:val="26"/>
                <w:szCs w:val="26"/>
              </w:rPr>
              <w:t>Bắc Ninh, Cần Thơ, Đà Nẵng, Đồng Tháp,</w:t>
            </w:r>
            <w:r w:rsidR="004E2FCB" w:rsidRPr="00BB7887">
              <w:rPr>
                <w:rFonts w:cs="Times New Roman"/>
                <w:b/>
                <w:sz w:val="26"/>
                <w:szCs w:val="26"/>
              </w:rPr>
              <w:t xml:space="preserve"> Hà Nội,</w:t>
            </w:r>
            <w:r w:rsidRPr="00BB7887">
              <w:rPr>
                <w:rFonts w:cs="Times New Roman"/>
                <w:b/>
                <w:sz w:val="26"/>
                <w:szCs w:val="26"/>
              </w:rPr>
              <w:t xml:space="preserve"> Hà Tĩnh</w:t>
            </w:r>
            <w:r w:rsidR="005E59DE" w:rsidRPr="00BB7887">
              <w:rPr>
                <w:rFonts w:cs="Times New Roman"/>
                <w:b/>
                <w:sz w:val="26"/>
                <w:szCs w:val="26"/>
              </w:rPr>
              <w:t>, Hải Phòng</w:t>
            </w:r>
            <w:r w:rsidRPr="00BB7887">
              <w:rPr>
                <w:rFonts w:cs="Times New Roman"/>
                <w:b/>
                <w:sz w:val="26"/>
                <w:szCs w:val="26"/>
              </w:rPr>
              <w:t>,</w:t>
            </w:r>
            <w:r w:rsidR="00554539" w:rsidRPr="00BB7887">
              <w:rPr>
                <w:rFonts w:cs="Times New Roman"/>
                <w:b/>
                <w:sz w:val="26"/>
                <w:szCs w:val="26"/>
              </w:rPr>
              <w:t xml:space="preserve"> Huế,</w:t>
            </w:r>
            <w:r w:rsidRPr="00BB7887">
              <w:rPr>
                <w:rFonts w:cs="Times New Roman"/>
                <w:b/>
                <w:sz w:val="26"/>
                <w:szCs w:val="26"/>
              </w:rPr>
              <w:t xml:space="preserve"> </w:t>
            </w:r>
            <w:r w:rsidR="001706C9">
              <w:rPr>
                <w:rFonts w:cs="Times New Roman"/>
                <w:b/>
                <w:sz w:val="26"/>
                <w:szCs w:val="26"/>
              </w:rPr>
              <w:t xml:space="preserve">Khánh Hòa, </w:t>
            </w:r>
            <w:r w:rsidRPr="00BB7887">
              <w:rPr>
                <w:rFonts w:cs="Times New Roman"/>
                <w:b/>
                <w:sz w:val="26"/>
                <w:szCs w:val="26"/>
              </w:rPr>
              <w:t>Lai Châu, Lâm Đồng, Lạng Sơn</w:t>
            </w:r>
            <w:r w:rsidR="006A2C64" w:rsidRPr="00BB7887">
              <w:rPr>
                <w:rFonts w:cs="Times New Roman"/>
                <w:b/>
                <w:sz w:val="26"/>
                <w:szCs w:val="26"/>
              </w:rPr>
              <w:t>,</w:t>
            </w:r>
            <w:r w:rsidR="00AB5039" w:rsidRPr="00BB7887">
              <w:rPr>
                <w:rFonts w:cs="Times New Roman"/>
                <w:b/>
                <w:sz w:val="26"/>
                <w:szCs w:val="26"/>
              </w:rPr>
              <w:t xml:space="preserve"> Nghệ An,</w:t>
            </w:r>
            <w:r w:rsidR="006A2C64" w:rsidRPr="00BB7887">
              <w:rPr>
                <w:rFonts w:cs="Times New Roman"/>
                <w:b/>
                <w:sz w:val="26"/>
                <w:szCs w:val="26"/>
              </w:rPr>
              <w:t xml:space="preserve"> Ninh Bình</w:t>
            </w:r>
            <w:r w:rsidRPr="00BB7887">
              <w:rPr>
                <w:rFonts w:cs="Times New Roman"/>
                <w:b/>
                <w:sz w:val="26"/>
                <w:szCs w:val="26"/>
              </w:rPr>
              <w:t>, Phú Thọ, Sơn La,</w:t>
            </w:r>
            <w:r w:rsidR="00AB5039" w:rsidRPr="00BB7887">
              <w:rPr>
                <w:rFonts w:cs="Times New Roman"/>
                <w:b/>
                <w:sz w:val="26"/>
                <w:szCs w:val="26"/>
              </w:rPr>
              <w:t xml:space="preserve"> Tây Ninh,</w:t>
            </w:r>
            <w:r w:rsidR="00510A60">
              <w:rPr>
                <w:rFonts w:cs="Times New Roman"/>
                <w:b/>
                <w:sz w:val="26"/>
                <w:szCs w:val="26"/>
              </w:rPr>
              <w:t xml:space="preserve"> Thanh Hóa,</w:t>
            </w:r>
            <w:r w:rsidRPr="00BB7887">
              <w:rPr>
                <w:rFonts w:cs="Times New Roman"/>
                <w:b/>
                <w:sz w:val="26"/>
                <w:szCs w:val="26"/>
              </w:rPr>
              <w:t xml:space="preserve"> Thái Nguyên</w:t>
            </w:r>
            <w:r w:rsidR="00E3284F" w:rsidRPr="00BB7887">
              <w:rPr>
                <w:rFonts w:cs="Times New Roman"/>
                <w:b/>
                <w:sz w:val="26"/>
                <w:szCs w:val="26"/>
              </w:rPr>
              <w:t>, Tuyên Quang</w:t>
            </w:r>
            <w:r w:rsidRPr="00BB7887">
              <w:rPr>
                <w:rFonts w:cs="Times New Roman"/>
                <w:b/>
                <w:sz w:val="26"/>
                <w:szCs w:val="26"/>
              </w:rPr>
              <w:t>, Vĩnh Long)</w:t>
            </w:r>
          </w:p>
        </w:tc>
      </w:tr>
      <w:tr w:rsidR="00BB7887" w:rsidRPr="00BB7887" w14:paraId="20A10686" w14:textId="77777777" w:rsidTr="0048423B">
        <w:tc>
          <w:tcPr>
            <w:tcW w:w="708" w:type="dxa"/>
            <w:vAlign w:val="center"/>
          </w:tcPr>
          <w:p w14:paraId="7C4021DE" w14:textId="07A5B66F" w:rsidR="00003119" w:rsidRPr="00BB7887" w:rsidRDefault="00003119" w:rsidP="009F48BB">
            <w:pPr>
              <w:spacing w:before="60" w:after="60" w:line="276" w:lineRule="auto"/>
              <w:rPr>
                <w:rFonts w:cs="Times New Roman"/>
                <w:b/>
                <w:sz w:val="26"/>
                <w:szCs w:val="26"/>
              </w:rPr>
            </w:pPr>
          </w:p>
        </w:tc>
        <w:tc>
          <w:tcPr>
            <w:tcW w:w="8643" w:type="dxa"/>
            <w:vAlign w:val="center"/>
          </w:tcPr>
          <w:p w14:paraId="43604E5D" w14:textId="16408602" w:rsidR="00003119" w:rsidRPr="00BB7887" w:rsidRDefault="00C06CAE" w:rsidP="009F48BB">
            <w:pPr>
              <w:spacing w:before="60" w:after="60" w:line="276" w:lineRule="auto"/>
              <w:rPr>
                <w:rFonts w:cs="Times New Roman"/>
                <w:b/>
                <w:sz w:val="26"/>
                <w:szCs w:val="26"/>
              </w:rPr>
            </w:pPr>
            <w:r w:rsidRPr="00BB7887">
              <w:rPr>
                <w:rFonts w:cs="Times New Roman"/>
                <w:sz w:val="26"/>
                <w:szCs w:val="26"/>
              </w:rPr>
              <w:t>Nhất trí với nội dung dự thảo Thông tư</w:t>
            </w:r>
          </w:p>
        </w:tc>
        <w:tc>
          <w:tcPr>
            <w:tcW w:w="5246" w:type="dxa"/>
            <w:vAlign w:val="center"/>
          </w:tcPr>
          <w:p w14:paraId="60AB246B" w14:textId="548DF985" w:rsidR="00003119" w:rsidRPr="00BB7887" w:rsidRDefault="00003119" w:rsidP="009F48BB">
            <w:pPr>
              <w:spacing w:before="60" w:after="60" w:line="276" w:lineRule="auto"/>
              <w:rPr>
                <w:rFonts w:cs="Times New Roman"/>
                <w:sz w:val="26"/>
                <w:szCs w:val="26"/>
              </w:rPr>
            </w:pPr>
          </w:p>
        </w:tc>
      </w:tr>
      <w:tr w:rsidR="005A2623" w:rsidRPr="00BB7887" w14:paraId="4B86E944" w14:textId="77777777" w:rsidTr="0048423B">
        <w:tc>
          <w:tcPr>
            <w:tcW w:w="708" w:type="dxa"/>
            <w:vAlign w:val="center"/>
          </w:tcPr>
          <w:p w14:paraId="2AB6520A" w14:textId="07D4E4F9" w:rsidR="005A2623" w:rsidRPr="005A2623" w:rsidRDefault="00510A60" w:rsidP="005A2623">
            <w:pPr>
              <w:spacing w:before="60" w:after="60" w:line="276" w:lineRule="auto"/>
              <w:jc w:val="center"/>
              <w:rPr>
                <w:rFonts w:cs="Times New Roman"/>
                <w:b/>
                <w:sz w:val="26"/>
                <w:szCs w:val="26"/>
              </w:rPr>
            </w:pPr>
            <w:r>
              <w:rPr>
                <w:rFonts w:cs="Times New Roman"/>
                <w:b/>
                <w:sz w:val="26"/>
                <w:szCs w:val="26"/>
              </w:rPr>
              <w:t>2</w:t>
            </w:r>
          </w:p>
        </w:tc>
        <w:tc>
          <w:tcPr>
            <w:tcW w:w="8643" w:type="dxa"/>
            <w:vAlign w:val="center"/>
          </w:tcPr>
          <w:p w14:paraId="2F762127" w14:textId="230E49EF" w:rsidR="005A2623" w:rsidRPr="005A2623" w:rsidRDefault="005A2623" w:rsidP="003A07ED">
            <w:pPr>
              <w:jc w:val="both"/>
              <w:rPr>
                <w:rFonts w:cs="Times New Roman"/>
                <w:b/>
                <w:sz w:val="26"/>
                <w:szCs w:val="26"/>
              </w:rPr>
            </w:pPr>
            <w:r w:rsidRPr="005A2623">
              <w:rPr>
                <w:rFonts w:cs="Times New Roman"/>
                <w:b/>
                <w:sz w:val="26"/>
                <w:szCs w:val="26"/>
              </w:rPr>
              <w:t>SYT Quảng Ninh</w:t>
            </w:r>
          </w:p>
        </w:tc>
        <w:tc>
          <w:tcPr>
            <w:tcW w:w="5246" w:type="dxa"/>
            <w:vAlign w:val="center"/>
          </w:tcPr>
          <w:p w14:paraId="61E28EA3" w14:textId="77777777" w:rsidR="005A2623" w:rsidRPr="00BB7887" w:rsidRDefault="005A2623" w:rsidP="00194966">
            <w:pPr>
              <w:spacing w:before="60" w:line="276" w:lineRule="auto"/>
              <w:jc w:val="both"/>
              <w:rPr>
                <w:rFonts w:cs="Times New Roman"/>
                <w:sz w:val="26"/>
                <w:szCs w:val="26"/>
              </w:rPr>
            </w:pPr>
          </w:p>
        </w:tc>
      </w:tr>
      <w:tr w:rsidR="005A2623" w:rsidRPr="00BB7887" w14:paraId="3A32BC05" w14:textId="77777777" w:rsidTr="0048423B">
        <w:tc>
          <w:tcPr>
            <w:tcW w:w="708" w:type="dxa"/>
            <w:vAlign w:val="center"/>
          </w:tcPr>
          <w:p w14:paraId="3D888A46" w14:textId="77777777" w:rsidR="005A2623" w:rsidRPr="00BB7887" w:rsidRDefault="005A2623" w:rsidP="009F48BB">
            <w:pPr>
              <w:spacing w:before="60" w:after="60" w:line="276" w:lineRule="auto"/>
              <w:rPr>
                <w:rFonts w:cs="Times New Roman"/>
                <w:sz w:val="26"/>
                <w:szCs w:val="26"/>
              </w:rPr>
            </w:pPr>
          </w:p>
        </w:tc>
        <w:tc>
          <w:tcPr>
            <w:tcW w:w="8643" w:type="dxa"/>
            <w:vAlign w:val="center"/>
          </w:tcPr>
          <w:p w14:paraId="3A2D7CB7" w14:textId="75BD7B9D" w:rsidR="005A2623" w:rsidRPr="00BB7887" w:rsidRDefault="005A2623" w:rsidP="003A07ED">
            <w:pPr>
              <w:jc w:val="both"/>
              <w:rPr>
                <w:rFonts w:cs="Times New Roman"/>
                <w:sz w:val="26"/>
                <w:szCs w:val="26"/>
              </w:rPr>
            </w:pPr>
            <w:r w:rsidRPr="005A2623">
              <w:rPr>
                <w:color w:val="FF0000"/>
              </w:rPr>
              <w:t>Tại Phụ lục 1, Sở Y tế đề nghị Cục Phòng bệnh nghiên cứu tham mưu danh mục “Hóa chất được phép sử dụng trong chế phẩm diệt côn trùng, diệt khuẩn dùng trong lĩnh vực gia dụng và y tế”.</w:t>
            </w:r>
          </w:p>
        </w:tc>
        <w:tc>
          <w:tcPr>
            <w:tcW w:w="5246" w:type="dxa"/>
            <w:vAlign w:val="center"/>
          </w:tcPr>
          <w:p w14:paraId="7E1657C9" w14:textId="77777777" w:rsidR="005A2623" w:rsidRPr="00BB7887" w:rsidRDefault="005A2623" w:rsidP="00194966">
            <w:pPr>
              <w:spacing w:before="60" w:line="276" w:lineRule="auto"/>
              <w:jc w:val="both"/>
              <w:rPr>
                <w:rFonts w:cs="Times New Roman"/>
                <w:sz w:val="26"/>
                <w:szCs w:val="26"/>
              </w:rPr>
            </w:pPr>
          </w:p>
        </w:tc>
      </w:tr>
      <w:tr w:rsidR="00BB7887" w:rsidRPr="00BB7887" w14:paraId="38B9067B" w14:textId="77777777" w:rsidTr="0048423B">
        <w:tc>
          <w:tcPr>
            <w:tcW w:w="708" w:type="dxa"/>
            <w:vAlign w:val="center"/>
          </w:tcPr>
          <w:p w14:paraId="5FF99798" w14:textId="36C505A5" w:rsidR="00B85E4A" w:rsidRPr="00BB7887" w:rsidRDefault="00B85E4A" w:rsidP="00B85E4A">
            <w:pPr>
              <w:spacing w:before="60" w:after="60" w:line="276" w:lineRule="auto"/>
              <w:jc w:val="center"/>
              <w:rPr>
                <w:rFonts w:cs="Times New Roman"/>
                <w:b/>
                <w:sz w:val="26"/>
                <w:szCs w:val="26"/>
              </w:rPr>
            </w:pPr>
            <w:r w:rsidRPr="00BB7887">
              <w:rPr>
                <w:rFonts w:cs="Times New Roman"/>
                <w:b/>
                <w:sz w:val="26"/>
                <w:szCs w:val="26"/>
              </w:rPr>
              <w:t>IV</w:t>
            </w:r>
          </w:p>
        </w:tc>
        <w:tc>
          <w:tcPr>
            <w:tcW w:w="8643" w:type="dxa"/>
            <w:vAlign w:val="center"/>
          </w:tcPr>
          <w:p w14:paraId="05397E3C" w14:textId="1C8BF25C" w:rsidR="00B85E4A" w:rsidRPr="00BB7887" w:rsidRDefault="00B85E4A" w:rsidP="009F48BB">
            <w:pPr>
              <w:spacing w:before="60" w:after="60" w:line="276" w:lineRule="auto"/>
              <w:rPr>
                <w:rFonts w:cs="Times New Roman"/>
                <w:b/>
                <w:sz w:val="26"/>
                <w:szCs w:val="26"/>
              </w:rPr>
            </w:pPr>
            <w:r w:rsidRPr="00BB7887">
              <w:rPr>
                <w:rFonts w:cs="Times New Roman"/>
                <w:b/>
                <w:sz w:val="26"/>
                <w:szCs w:val="26"/>
              </w:rPr>
              <w:t>Liên đoàn Thương mại và Công nghiệp Việt Nam (VCCI)</w:t>
            </w:r>
          </w:p>
        </w:tc>
        <w:tc>
          <w:tcPr>
            <w:tcW w:w="5246" w:type="dxa"/>
            <w:vAlign w:val="center"/>
          </w:tcPr>
          <w:p w14:paraId="09AC7960" w14:textId="77777777" w:rsidR="00B85E4A" w:rsidRPr="00BB7887" w:rsidRDefault="00B85E4A" w:rsidP="009F48BB">
            <w:pPr>
              <w:spacing w:before="60" w:after="60" w:line="276" w:lineRule="auto"/>
              <w:rPr>
                <w:rFonts w:cs="Times New Roman"/>
                <w:sz w:val="26"/>
                <w:szCs w:val="26"/>
              </w:rPr>
            </w:pPr>
          </w:p>
        </w:tc>
      </w:tr>
      <w:tr w:rsidR="00BB7887" w:rsidRPr="00BB7887" w14:paraId="5A5E48A6" w14:textId="77777777" w:rsidTr="0048423B">
        <w:tc>
          <w:tcPr>
            <w:tcW w:w="708" w:type="dxa"/>
            <w:vAlign w:val="center"/>
          </w:tcPr>
          <w:p w14:paraId="15817C3E" w14:textId="77777777" w:rsidR="00E41C82" w:rsidRPr="00BB7887" w:rsidRDefault="00E41C82" w:rsidP="00B85E4A">
            <w:pPr>
              <w:spacing w:before="60" w:after="60" w:line="276" w:lineRule="auto"/>
              <w:jc w:val="center"/>
              <w:rPr>
                <w:rFonts w:cs="Times New Roman"/>
                <w:b/>
                <w:sz w:val="26"/>
                <w:szCs w:val="26"/>
              </w:rPr>
            </w:pPr>
          </w:p>
        </w:tc>
        <w:tc>
          <w:tcPr>
            <w:tcW w:w="8643" w:type="dxa"/>
            <w:vAlign w:val="center"/>
          </w:tcPr>
          <w:p w14:paraId="2388008F" w14:textId="6172F564" w:rsidR="00E41C82" w:rsidRPr="00BB7887" w:rsidRDefault="001A379E" w:rsidP="001A379E">
            <w:pPr>
              <w:spacing w:before="60" w:after="60" w:line="276" w:lineRule="auto"/>
              <w:jc w:val="both"/>
              <w:rPr>
                <w:rFonts w:cs="Times New Roman"/>
                <w:b/>
                <w:sz w:val="26"/>
                <w:szCs w:val="26"/>
              </w:rPr>
            </w:pPr>
            <w:r w:rsidRPr="00BB7887">
              <w:rPr>
                <w:rFonts w:eastAsia="Times New Roman" w:cs="Times New Roman"/>
                <w:sz w:val="26"/>
                <w:szCs w:val="26"/>
              </w:rPr>
              <w:t>VCCI đã tiến hành triển khai lấy ý kiến rộng rãi của các doanh nghiệp, hiệp hội doanh nghiệp trên phạm vi cả nước là đối tượng chịu sự tác động của Dự thảo Thông tư bằng hình thức đăng tải công khai trên trang web của VCCI. Tuy nhiên, đến ngày 05/01/2026, VCCI chưa nhận được ý kiến nào liên quan đến Dự thảo.</w:t>
            </w:r>
          </w:p>
        </w:tc>
        <w:tc>
          <w:tcPr>
            <w:tcW w:w="5246" w:type="dxa"/>
          </w:tcPr>
          <w:p w14:paraId="338A43F8" w14:textId="0CB76F66" w:rsidR="00E41C82" w:rsidRPr="00BB7887" w:rsidRDefault="00E41C82" w:rsidP="001A379E">
            <w:pPr>
              <w:spacing w:before="60" w:after="60" w:line="276" w:lineRule="auto"/>
              <w:rPr>
                <w:rFonts w:cs="Times New Roman"/>
                <w:sz w:val="26"/>
                <w:szCs w:val="26"/>
              </w:rPr>
            </w:pPr>
          </w:p>
        </w:tc>
      </w:tr>
    </w:tbl>
    <w:p w14:paraId="4ADFED54" w14:textId="0979CABC" w:rsidR="00D6558A" w:rsidRPr="00BB7887" w:rsidRDefault="00D6558A">
      <w:pPr>
        <w:rPr>
          <w:rFonts w:cs="Times New Roman"/>
          <w:sz w:val="26"/>
          <w:szCs w:val="26"/>
        </w:rPr>
      </w:pPr>
    </w:p>
    <w:sectPr w:rsidR="00D6558A" w:rsidRPr="00BB7887" w:rsidSect="00282F53">
      <w:pgSz w:w="16840" w:h="11907" w:orient="landscape" w:code="9"/>
      <w:pgMar w:top="1134"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B6C9C" w14:textId="77777777" w:rsidR="00084724" w:rsidRDefault="00084724" w:rsidP="006E5F4F">
      <w:pPr>
        <w:spacing w:after="0" w:line="240" w:lineRule="auto"/>
      </w:pPr>
      <w:r>
        <w:separator/>
      </w:r>
    </w:p>
  </w:endnote>
  <w:endnote w:type="continuationSeparator" w:id="0">
    <w:p w14:paraId="390569FB" w14:textId="77777777" w:rsidR="00084724" w:rsidRDefault="00084724" w:rsidP="006E5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IDFont+F3">
    <w:altName w:val="Times New Roman"/>
    <w:panose1 w:val="00000000000000000000"/>
    <w:charset w:val="00"/>
    <w:family w:val="roman"/>
    <w:notTrueType/>
    <w:pitch w:val="default"/>
  </w:font>
  <w:font w:name="Times New Roman-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D262F" w14:textId="77777777" w:rsidR="00084724" w:rsidRDefault="00084724" w:rsidP="006E5F4F">
      <w:pPr>
        <w:spacing w:after="0" w:line="240" w:lineRule="auto"/>
      </w:pPr>
      <w:r>
        <w:separator/>
      </w:r>
    </w:p>
  </w:footnote>
  <w:footnote w:type="continuationSeparator" w:id="0">
    <w:p w14:paraId="43EAA39C" w14:textId="77777777" w:rsidR="00084724" w:rsidRDefault="00084724" w:rsidP="006E5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168C5"/>
    <w:multiLevelType w:val="hybridMultilevel"/>
    <w:tmpl w:val="4A90CA82"/>
    <w:lvl w:ilvl="0" w:tplc="32BCD978">
      <w:start w:val="1"/>
      <w:numFmt w:val="upperRoman"/>
      <w:lvlText w:val="%1."/>
      <w:lvlJc w:val="left"/>
      <w:pPr>
        <w:ind w:left="1080" w:hanging="72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A5DFD"/>
    <w:multiLevelType w:val="hybridMultilevel"/>
    <w:tmpl w:val="1B40C4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C83"/>
    <w:rsid w:val="00001D4A"/>
    <w:rsid w:val="00003119"/>
    <w:rsid w:val="0000346B"/>
    <w:rsid w:val="00007801"/>
    <w:rsid w:val="00026BB9"/>
    <w:rsid w:val="00033BD4"/>
    <w:rsid w:val="000426D5"/>
    <w:rsid w:val="0004444C"/>
    <w:rsid w:val="00047304"/>
    <w:rsid w:val="00063C7E"/>
    <w:rsid w:val="00066ACB"/>
    <w:rsid w:val="000701FD"/>
    <w:rsid w:val="000836A9"/>
    <w:rsid w:val="00084724"/>
    <w:rsid w:val="00090818"/>
    <w:rsid w:val="000920AE"/>
    <w:rsid w:val="00094968"/>
    <w:rsid w:val="00096D2D"/>
    <w:rsid w:val="000A0A04"/>
    <w:rsid w:val="000C2AEB"/>
    <w:rsid w:val="000D4CFA"/>
    <w:rsid w:val="000D5E72"/>
    <w:rsid w:val="000D6324"/>
    <w:rsid w:val="000F272E"/>
    <w:rsid w:val="000F2E19"/>
    <w:rsid w:val="000F56A0"/>
    <w:rsid w:val="000F59C5"/>
    <w:rsid w:val="000F6EB9"/>
    <w:rsid w:val="00103047"/>
    <w:rsid w:val="0011214D"/>
    <w:rsid w:val="001255E3"/>
    <w:rsid w:val="001373F7"/>
    <w:rsid w:val="001430A7"/>
    <w:rsid w:val="00151892"/>
    <w:rsid w:val="0015361D"/>
    <w:rsid w:val="00162046"/>
    <w:rsid w:val="001661AA"/>
    <w:rsid w:val="001706C9"/>
    <w:rsid w:val="00180444"/>
    <w:rsid w:val="0018634A"/>
    <w:rsid w:val="00191BE5"/>
    <w:rsid w:val="00192BFD"/>
    <w:rsid w:val="00194966"/>
    <w:rsid w:val="001A379E"/>
    <w:rsid w:val="001A5E04"/>
    <w:rsid w:val="001A717B"/>
    <w:rsid w:val="001A7B91"/>
    <w:rsid w:val="001B0810"/>
    <w:rsid w:val="001C72B9"/>
    <w:rsid w:val="001D0901"/>
    <w:rsid w:val="001D105E"/>
    <w:rsid w:val="001D4673"/>
    <w:rsid w:val="001D703C"/>
    <w:rsid w:val="001D7716"/>
    <w:rsid w:val="001F0A1D"/>
    <w:rsid w:val="00201655"/>
    <w:rsid w:val="002038F4"/>
    <w:rsid w:val="00216245"/>
    <w:rsid w:val="00223288"/>
    <w:rsid w:val="00223EAF"/>
    <w:rsid w:val="002402B5"/>
    <w:rsid w:val="00242747"/>
    <w:rsid w:val="0025391C"/>
    <w:rsid w:val="00257117"/>
    <w:rsid w:val="002634D3"/>
    <w:rsid w:val="002671BB"/>
    <w:rsid w:val="00282F53"/>
    <w:rsid w:val="00297DEC"/>
    <w:rsid w:val="002A0716"/>
    <w:rsid w:val="002C1B01"/>
    <w:rsid w:val="002D3476"/>
    <w:rsid w:val="002F41BF"/>
    <w:rsid w:val="002F5A7D"/>
    <w:rsid w:val="00306194"/>
    <w:rsid w:val="00310C12"/>
    <w:rsid w:val="003137A5"/>
    <w:rsid w:val="003137E4"/>
    <w:rsid w:val="00316037"/>
    <w:rsid w:val="003255E2"/>
    <w:rsid w:val="00330588"/>
    <w:rsid w:val="00330740"/>
    <w:rsid w:val="00332803"/>
    <w:rsid w:val="00341ECE"/>
    <w:rsid w:val="003507E9"/>
    <w:rsid w:val="00351AB9"/>
    <w:rsid w:val="00351C32"/>
    <w:rsid w:val="00351D0C"/>
    <w:rsid w:val="00352463"/>
    <w:rsid w:val="00360E73"/>
    <w:rsid w:val="00362B41"/>
    <w:rsid w:val="00364D1F"/>
    <w:rsid w:val="00366B67"/>
    <w:rsid w:val="00370E4E"/>
    <w:rsid w:val="00383B80"/>
    <w:rsid w:val="00390A45"/>
    <w:rsid w:val="003A07ED"/>
    <w:rsid w:val="003A2794"/>
    <w:rsid w:val="003B1731"/>
    <w:rsid w:val="003B4E95"/>
    <w:rsid w:val="003B51A9"/>
    <w:rsid w:val="003B6869"/>
    <w:rsid w:val="003C1296"/>
    <w:rsid w:val="003C667C"/>
    <w:rsid w:val="003C6C12"/>
    <w:rsid w:val="003D1B88"/>
    <w:rsid w:val="003D1EAB"/>
    <w:rsid w:val="003D67BB"/>
    <w:rsid w:val="003D7063"/>
    <w:rsid w:val="003F09E2"/>
    <w:rsid w:val="003F3241"/>
    <w:rsid w:val="003F5C2A"/>
    <w:rsid w:val="00401B3D"/>
    <w:rsid w:val="00404FE0"/>
    <w:rsid w:val="00414C50"/>
    <w:rsid w:val="00462017"/>
    <w:rsid w:val="004630F1"/>
    <w:rsid w:val="00472387"/>
    <w:rsid w:val="0048423B"/>
    <w:rsid w:val="00484F92"/>
    <w:rsid w:val="00486B12"/>
    <w:rsid w:val="00492320"/>
    <w:rsid w:val="0049565E"/>
    <w:rsid w:val="004A0906"/>
    <w:rsid w:val="004B26D8"/>
    <w:rsid w:val="004C0F3C"/>
    <w:rsid w:val="004D2C83"/>
    <w:rsid w:val="004E2FCB"/>
    <w:rsid w:val="00503A54"/>
    <w:rsid w:val="00505F67"/>
    <w:rsid w:val="00510A60"/>
    <w:rsid w:val="005251D6"/>
    <w:rsid w:val="00554539"/>
    <w:rsid w:val="00555563"/>
    <w:rsid w:val="00556330"/>
    <w:rsid w:val="00557683"/>
    <w:rsid w:val="005752E9"/>
    <w:rsid w:val="00580FFD"/>
    <w:rsid w:val="00582835"/>
    <w:rsid w:val="00590FBB"/>
    <w:rsid w:val="005959E3"/>
    <w:rsid w:val="005968B7"/>
    <w:rsid w:val="00596EF5"/>
    <w:rsid w:val="00597512"/>
    <w:rsid w:val="005A22E8"/>
    <w:rsid w:val="005A2623"/>
    <w:rsid w:val="005B6279"/>
    <w:rsid w:val="005E52CD"/>
    <w:rsid w:val="005E59DE"/>
    <w:rsid w:val="005F77EC"/>
    <w:rsid w:val="00604D36"/>
    <w:rsid w:val="0060607A"/>
    <w:rsid w:val="006100C8"/>
    <w:rsid w:val="00610406"/>
    <w:rsid w:val="00610FA6"/>
    <w:rsid w:val="00616344"/>
    <w:rsid w:val="006229ED"/>
    <w:rsid w:val="00630298"/>
    <w:rsid w:val="00631364"/>
    <w:rsid w:val="00653CB4"/>
    <w:rsid w:val="00654665"/>
    <w:rsid w:val="00662163"/>
    <w:rsid w:val="00662B4A"/>
    <w:rsid w:val="00675CAD"/>
    <w:rsid w:val="006A2C64"/>
    <w:rsid w:val="006A65E7"/>
    <w:rsid w:val="006A7A5F"/>
    <w:rsid w:val="006B210B"/>
    <w:rsid w:val="006B75E5"/>
    <w:rsid w:val="006B7E46"/>
    <w:rsid w:val="006C0D38"/>
    <w:rsid w:val="006C31DA"/>
    <w:rsid w:val="006D0EC0"/>
    <w:rsid w:val="006E0496"/>
    <w:rsid w:val="006E5096"/>
    <w:rsid w:val="006E5F4F"/>
    <w:rsid w:val="006F2A16"/>
    <w:rsid w:val="00700A8E"/>
    <w:rsid w:val="007114A1"/>
    <w:rsid w:val="00713439"/>
    <w:rsid w:val="0075197F"/>
    <w:rsid w:val="00754987"/>
    <w:rsid w:val="00757DAD"/>
    <w:rsid w:val="0076723D"/>
    <w:rsid w:val="007729D1"/>
    <w:rsid w:val="00774AE1"/>
    <w:rsid w:val="00775EEA"/>
    <w:rsid w:val="00776CCA"/>
    <w:rsid w:val="00783CF4"/>
    <w:rsid w:val="0078686F"/>
    <w:rsid w:val="007961A4"/>
    <w:rsid w:val="007977A3"/>
    <w:rsid w:val="007A05DA"/>
    <w:rsid w:val="007C0011"/>
    <w:rsid w:val="007D1DAD"/>
    <w:rsid w:val="007D5581"/>
    <w:rsid w:val="007D611F"/>
    <w:rsid w:val="007E0966"/>
    <w:rsid w:val="007E09BC"/>
    <w:rsid w:val="007F7025"/>
    <w:rsid w:val="00803E4C"/>
    <w:rsid w:val="00810B67"/>
    <w:rsid w:val="00813344"/>
    <w:rsid w:val="00815755"/>
    <w:rsid w:val="008338AC"/>
    <w:rsid w:val="0085004A"/>
    <w:rsid w:val="00850250"/>
    <w:rsid w:val="008601CE"/>
    <w:rsid w:val="00862348"/>
    <w:rsid w:val="008678C4"/>
    <w:rsid w:val="008728FA"/>
    <w:rsid w:val="00877A0C"/>
    <w:rsid w:val="00886082"/>
    <w:rsid w:val="00891C85"/>
    <w:rsid w:val="008A2FB0"/>
    <w:rsid w:val="008D1EBA"/>
    <w:rsid w:val="008E6FF4"/>
    <w:rsid w:val="008E7090"/>
    <w:rsid w:val="00907D37"/>
    <w:rsid w:val="00920CCE"/>
    <w:rsid w:val="0092276A"/>
    <w:rsid w:val="00930176"/>
    <w:rsid w:val="00937BEA"/>
    <w:rsid w:val="00946C8B"/>
    <w:rsid w:val="009668F7"/>
    <w:rsid w:val="0096736D"/>
    <w:rsid w:val="00967F6C"/>
    <w:rsid w:val="00976049"/>
    <w:rsid w:val="00981F0E"/>
    <w:rsid w:val="009848D4"/>
    <w:rsid w:val="0098571A"/>
    <w:rsid w:val="00987FBC"/>
    <w:rsid w:val="009A2B13"/>
    <w:rsid w:val="009A6675"/>
    <w:rsid w:val="009B2E8F"/>
    <w:rsid w:val="009C193B"/>
    <w:rsid w:val="009D1AC0"/>
    <w:rsid w:val="009F48BB"/>
    <w:rsid w:val="00A0745F"/>
    <w:rsid w:val="00A247EF"/>
    <w:rsid w:val="00A34E1C"/>
    <w:rsid w:val="00A42E54"/>
    <w:rsid w:val="00A50F3E"/>
    <w:rsid w:val="00A51A62"/>
    <w:rsid w:val="00A651AC"/>
    <w:rsid w:val="00A66DA9"/>
    <w:rsid w:val="00A86A2B"/>
    <w:rsid w:val="00A94CB9"/>
    <w:rsid w:val="00A96E61"/>
    <w:rsid w:val="00AB4D65"/>
    <w:rsid w:val="00AB5039"/>
    <w:rsid w:val="00AB761C"/>
    <w:rsid w:val="00AC0589"/>
    <w:rsid w:val="00AC3E1D"/>
    <w:rsid w:val="00AC58C8"/>
    <w:rsid w:val="00AD619C"/>
    <w:rsid w:val="00AE0226"/>
    <w:rsid w:val="00AE1B7C"/>
    <w:rsid w:val="00AE3292"/>
    <w:rsid w:val="00AE4437"/>
    <w:rsid w:val="00AF47B6"/>
    <w:rsid w:val="00AF67EB"/>
    <w:rsid w:val="00B15128"/>
    <w:rsid w:val="00B17A04"/>
    <w:rsid w:val="00B21527"/>
    <w:rsid w:val="00B2463B"/>
    <w:rsid w:val="00B2774A"/>
    <w:rsid w:val="00B30E9C"/>
    <w:rsid w:val="00B36853"/>
    <w:rsid w:val="00B37D5C"/>
    <w:rsid w:val="00B53C9B"/>
    <w:rsid w:val="00B57CD4"/>
    <w:rsid w:val="00B57EDE"/>
    <w:rsid w:val="00B638F7"/>
    <w:rsid w:val="00B756EC"/>
    <w:rsid w:val="00B85E4A"/>
    <w:rsid w:val="00B96C80"/>
    <w:rsid w:val="00B977CE"/>
    <w:rsid w:val="00BA3853"/>
    <w:rsid w:val="00BA6494"/>
    <w:rsid w:val="00BB046F"/>
    <w:rsid w:val="00BB32A3"/>
    <w:rsid w:val="00BB7887"/>
    <w:rsid w:val="00BC2310"/>
    <w:rsid w:val="00BD649D"/>
    <w:rsid w:val="00BE0887"/>
    <w:rsid w:val="00BE5694"/>
    <w:rsid w:val="00BE5A16"/>
    <w:rsid w:val="00BF21E3"/>
    <w:rsid w:val="00BF44F6"/>
    <w:rsid w:val="00BF7B4D"/>
    <w:rsid w:val="00C02FD6"/>
    <w:rsid w:val="00C06CAE"/>
    <w:rsid w:val="00C10A31"/>
    <w:rsid w:val="00C13613"/>
    <w:rsid w:val="00C13F84"/>
    <w:rsid w:val="00C14FE7"/>
    <w:rsid w:val="00C2608F"/>
    <w:rsid w:val="00C44A4B"/>
    <w:rsid w:val="00C60854"/>
    <w:rsid w:val="00C65E67"/>
    <w:rsid w:val="00C84E22"/>
    <w:rsid w:val="00C85CCB"/>
    <w:rsid w:val="00C977A3"/>
    <w:rsid w:val="00CA0974"/>
    <w:rsid w:val="00CA30BC"/>
    <w:rsid w:val="00CA5564"/>
    <w:rsid w:val="00CB4D4F"/>
    <w:rsid w:val="00CB659E"/>
    <w:rsid w:val="00CC1C01"/>
    <w:rsid w:val="00CC3B93"/>
    <w:rsid w:val="00CD13FA"/>
    <w:rsid w:val="00CD184C"/>
    <w:rsid w:val="00CE1B39"/>
    <w:rsid w:val="00CE78C1"/>
    <w:rsid w:val="00CF6B42"/>
    <w:rsid w:val="00D120DA"/>
    <w:rsid w:val="00D1462C"/>
    <w:rsid w:val="00D34A77"/>
    <w:rsid w:val="00D41CD1"/>
    <w:rsid w:val="00D4489E"/>
    <w:rsid w:val="00D45E90"/>
    <w:rsid w:val="00D472FC"/>
    <w:rsid w:val="00D505B7"/>
    <w:rsid w:val="00D52098"/>
    <w:rsid w:val="00D6558A"/>
    <w:rsid w:val="00D779A8"/>
    <w:rsid w:val="00D92ADA"/>
    <w:rsid w:val="00D93854"/>
    <w:rsid w:val="00D94DEE"/>
    <w:rsid w:val="00D97039"/>
    <w:rsid w:val="00D97118"/>
    <w:rsid w:val="00D9768F"/>
    <w:rsid w:val="00D976F5"/>
    <w:rsid w:val="00DA49AE"/>
    <w:rsid w:val="00DA5948"/>
    <w:rsid w:val="00DA79FC"/>
    <w:rsid w:val="00DA7DA0"/>
    <w:rsid w:val="00DC39B5"/>
    <w:rsid w:val="00DC3FEC"/>
    <w:rsid w:val="00DC4FBE"/>
    <w:rsid w:val="00DC63D0"/>
    <w:rsid w:val="00DD1E36"/>
    <w:rsid w:val="00DD1F9A"/>
    <w:rsid w:val="00DD2112"/>
    <w:rsid w:val="00DE4542"/>
    <w:rsid w:val="00DF0A43"/>
    <w:rsid w:val="00E00292"/>
    <w:rsid w:val="00E00F28"/>
    <w:rsid w:val="00E01691"/>
    <w:rsid w:val="00E17972"/>
    <w:rsid w:val="00E23E70"/>
    <w:rsid w:val="00E2791E"/>
    <w:rsid w:val="00E3284F"/>
    <w:rsid w:val="00E41C82"/>
    <w:rsid w:val="00E552C8"/>
    <w:rsid w:val="00E603BF"/>
    <w:rsid w:val="00E809E9"/>
    <w:rsid w:val="00E817D4"/>
    <w:rsid w:val="00E82029"/>
    <w:rsid w:val="00E83CA8"/>
    <w:rsid w:val="00E84434"/>
    <w:rsid w:val="00E85F4C"/>
    <w:rsid w:val="00E86200"/>
    <w:rsid w:val="00E93B4D"/>
    <w:rsid w:val="00E95B15"/>
    <w:rsid w:val="00E95BBF"/>
    <w:rsid w:val="00E96246"/>
    <w:rsid w:val="00EA4B43"/>
    <w:rsid w:val="00EC19FC"/>
    <w:rsid w:val="00EC3BE1"/>
    <w:rsid w:val="00EF303F"/>
    <w:rsid w:val="00EF78B6"/>
    <w:rsid w:val="00F247B5"/>
    <w:rsid w:val="00F24B90"/>
    <w:rsid w:val="00F275CA"/>
    <w:rsid w:val="00F32792"/>
    <w:rsid w:val="00F51F6D"/>
    <w:rsid w:val="00F57F57"/>
    <w:rsid w:val="00F61576"/>
    <w:rsid w:val="00F64B2E"/>
    <w:rsid w:val="00F77FCA"/>
    <w:rsid w:val="00F85504"/>
    <w:rsid w:val="00F87B6F"/>
    <w:rsid w:val="00F93147"/>
    <w:rsid w:val="00FA65F3"/>
    <w:rsid w:val="00FB315C"/>
    <w:rsid w:val="00FB511E"/>
    <w:rsid w:val="00FB7114"/>
    <w:rsid w:val="00FC2EAB"/>
    <w:rsid w:val="00FC5F81"/>
    <w:rsid w:val="00FD1B7F"/>
    <w:rsid w:val="00FE2AC8"/>
    <w:rsid w:val="00FF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B28C1"/>
  <w15:chartTrackingRefBased/>
  <w15:docId w15:val="{7D5FB549-72B7-4255-BDA2-1E91B056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B13"/>
  </w:style>
  <w:style w:type="paragraph" w:styleId="Heading2">
    <w:name w:val="heading 2"/>
    <w:basedOn w:val="Normal"/>
    <w:next w:val="Normal"/>
    <w:link w:val="Heading2Char"/>
    <w:uiPriority w:val="9"/>
    <w:semiHidden/>
    <w:unhideWhenUsed/>
    <w:qFormat/>
    <w:rsid w:val="00D976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2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3BD4"/>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rsid w:val="00580FFD"/>
    <w:pPr>
      <w:spacing w:after="120" w:line="240" w:lineRule="auto"/>
    </w:pPr>
    <w:rPr>
      <w:rFonts w:ascii=".VnTime" w:eastAsia="Times New Roman" w:hAnsi=".VnTime" w:cs="Times New Roman"/>
      <w:szCs w:val="28"/>
    </w:rPr>
  </w:style>
  <w:style w:type="character" w:customStyle="1" w:styleId="BodyTextChar">
    <w:name w:val="Body Text Char"/>
    <w:basedOn w:val="DefaultParagraphFont"/>
    <w:link w:val="BodyText"/>
    <w:rsid w:val="00580FFD"/>
    <w:rPr>
      <w:rFonts w:ascii=".VnTime" w:eastAsia="Times New Roman" w:hAnsi=".VnTime" w:cs="Times New Roman"/>
      <w:szCs w:val="28"/>
    </w:rPr>
  </w:style>
  <w:style w:type="paragraph" w:styleId="ListParagraph">
    <w:name w:val="List Paragraph"/>
    <w:basedOn w:val="Normal"/>
    <w:uiPriority w:val="34"/>
    <w:qFormat/>
    <w:rsid w:val="00810B67"/>
    <w:pPr>
      <w:ind w:left="720"/>
      <w:contextualSpacing/>
    </w:pPr>
  </w:style>
  <w:style w:type="character" w:styleId="FootnoteReference">
    <w:name w:val="footnote reference"/>
    <w:basedOn w:val="DefaultParagraphFont"/>
    <w:uiPriority w:val="99"/>
    <w:semiHidden/>
    <w:unhideWhenUsed/>
    <w:qFormat/>
    <w:rsid w:val="006E5F4F"/>
    <w:rPr>
      <w:vertAlign w:val="superscript"/>
    </w:rPr>
  </w:style>
  <w:style w:type="paragraph" w:styleId="FootnoteText">
    <w:name w:val="footnote text"/>
    <w:basedOn w:val="Normal"/>
    <w:link w:val="FootnoteTextChar"/>
    <w:uiPriority w:val="99"/>
    <w:unhideWhenUsed/>
    <w:qFormat/>
    <w:rsid w:val="006E5F4F"/>
    <w:pPr>
      <w:spacing w:after="0" w:line="240" w:lineRule="auto"/>
    </w:pPr>
    <w:rPr>
      <w:rFonts w:eastAsia="SimSun" w:cs="Times New Roman"/>
      <w:sz w:val="22"/>
    </w:rPr>
  </w:style>
  <w:style w:type="character" w:customStyle="1" w:styleId="FootnoteTextChar">
    <w:name w:val="Footnote Text Char"/>
    <w:basedOn w:val="DefaultParagraphFont"/>
    <w:link w:val="FootnoteText"/>
    <w:uiPriority w:val="99"/>
    <w:qFormat/>
    <w:rsid w:val="006E5F4F"/>
    <w:rPr>
      <w:rFonts w:eastAsia="SimSun" w:cs="Times New Roman"/>
      <w:sz w:val="22"/>
    </w:rPr>
  </w:style>
  <w:style w:type="character" w:customStyle="1" w:styleId="Heading2Char">
    <w:name w:val="Heading 2 Char"/>
    <w:basedOn w:val="DefaultParagraphFont"/>
    <w:link w:val="Heading2"/>
    <w:uiPriority w:val="9"/>
    <w:semiHidden/>
    <w:rsid w:val="00D976F5"/>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DefaultParagraphFont"/>
    <w:rsid w:val="00D6558A"/>
    <w:rPr>
      <w:rFonts w:ascii="CIDFont+F3" w:hAnsi="CIDFont+F3" w:hint="default"/>
      <w:b w:val="0"/>
      <w:bCs w:val="0"/>
      <w:i w:val="0"/>
      <w:iCs w:val="0"/>
      <w:color w:val="000000"/>
      <w:sz w:val="26"/>
      <w:szCs w:val="26"/>
    </w:rPr>
  </w:style>
  <w:style w:type="character" w:customStyle="1" w:styleId="fontstyle21">
    <w:name w:val="fontstyle21"/>
    <w:basedOn w:val="DefaultParagraphFont"/>
    <w:rsid w:val="00BC2310"/>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BC2310"/>
    <w:rPr>
      <w:rFonts w:ascii="Times New Roman-Italic" w:hAnsi="Times New Roman-Italic" w:hint="default"/>
      <w:b w:val="0"/>
      <w:bCs w:val="0"/>
      <w:i/>
      <w:iCs/>
      <w:color w:val="000000"/>
      <w:sz w:val="28"/>
      <w:szCs w:val="28"/>
    </w:rPr>
  </w:style>
  <w:style w:type="paragraph" w:styleId="BalloonText">
    <w:name w:val="Balloon Text"/>
    <w:basedOn w:val="Normal"/>
    <w:link w:val="BalloonTextChar"/>
    <w:uiPriority w:val="99"/>
    <w:semiHidden/>
    <w:unhideWhenUsed/>
    <w:rsid w:val="00242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7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554396">
      <w:bodyDiv w:val="1"/>
      <w:marLeft w:val="0"/>
      <w:marRight w:val="0"/>
      <w:marTop w:val="0"/>
      <w:marBottom w:val="0"/>
      <w:divBdr>
        <w:top w:val="none" w:sz="0" w:space="0" w:color="auto"/>
        <w:left w:val="none" w:sz="0" w:space="0" w:color="auto"/>
        <w:bottom w:val="none" w:sz="0" w:space="0" w:color="auto"/>
        <w:right w:val="none" w:sz="0" w:space="0" w:color="auto"/>
      </w:divBdr>
    </w:div>
    <w:div w:id="874192635">
      <w:bodyDiv w:val="1"/>
      <w:marLeft w:val="0"/>
      <w:marRight w:val="0"/>
      <w:marTop w:val="0"/>
      <w:marBottom w:val="0"/>
      <w:divBdr>
        <w:top w:val="none" w:sz="0" w:space="0" w:color="auto"/>
        <w:left w:val="none" w:sz="0" w:space="0" w:color="auto"/>
        <w:bottom w:val="none" w:sz="0" w:space="0" w:color="auto"/>
        <w:right w:val="none" w:sz="0" w:space="0" w:color="auto"/>
      </w:divBdr>
    </w:div>
    <w:div w:id="1264652848">
      <w:bodyDiv w:val="1"/>
      <w:marLeft w:val="0"/>
      <w:marRight w:val="0"/>
      <w:marTop w:val="0"/>
      <w:marBottom w:val="0"/>
      <w:divBdr>
        <w:top w:val="none" w:sz="0" w:space="0" w:color="auto"/>
        <w:left w:val="none" w:sz="0" w:space="0" w:color="auto"/>
        <w:bottom w:val="none" w:sz="0" w:space="0" w:color="auto"/>
        <w:right w:val="none" w:sz="0" w:space="0" w:color="auto"/>
      </w:divBdr>
    </w:div>
    <w:div w:id="1314800716">
      <w:bodyDiv w:val="1"/>
      <w:marLeft w:val="0"/>
      <w:marRight w:val="0"/>
      <w:marTop w:val="0"/>
      <w:marBottom w:val="0"/>
      <w:divBdr>
        <w:top w:val="none" w:sz="0" w:space="0" w:color="auto"/>
        <w:left w:val="none" w:sz="0" w:space="0" w:color="auto"/>
        <w:bottom w:val="none" w:sz="0" w:space="0" w:color="auto"/>
        <w:right w:val="none" w:sz="0" w:space="0" w:color="auto"/>
      </w:divBdr>
    </w:div>
    <w:div w:id="1637098971">
      <w:bodyDiv w:val="1"/>
      <w:marLeft w:val="0"/>
      <w:marRight w:val="0"/>
      <w:marTop w:val="0"/>
      <w:marBottom w:val="0"/>
      <w:divBdr>
        <w:top w:val="none" w:sz="0" w:space="0" w:color="auto"/>
        <w:left w:val="none" w:sz="0" w:space="0" w:color="auto"/>
        <w:bottom w:val="none" w:sz="0" w:space="0" w:color="auto"/>
        <w:right w:val="none" w:sz="0" w:space="0" w:color="auto"/>
      </w:divBdr>
    </w:div>
    <w:div w:id="16831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8759C-9AF3-4B5E-A44B-AF6FF227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11</Pages>
  <Words>2881</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93</cp:revision>
  <cp:lastPrinted>2026-01-12T10:00:00Z</cp:lastPrinted>
  <dcterms:created xsi:type="dcterms:W3CDTF">2025-12-29T08:37:00Z</dcterms:created>
  <dcterms:modified xsi:type="dcterms:W3CDTF">2026-01-12T10:01:00Z</dcterms:modified>
</cp:coreProperties>
</file>